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utoSpaceDE w:val="0"/>
        <w:autoSpaceDN w:val="0"/>
        <w:spacing w:line="560" w:lineRule="exact"/>
        <w:jc w:val="left"/>
        <w:rPr>
          <w:rFonts w:ascii="黑体" w:eastAsia="黑体"/>
          <w:kern w:val="0"/>
          <w:lang w:val="en-US"/>
        </w:rPr>
      </w:pPr>
      <w:bookmarkStart w:id="0" w:name="_GoBack"/>
      <w:r>
        <w:rPr>
          <w:rFonts w:hint="eastAsia" w:ascii="黑体" w:eastAsia="黑体"/>
          <w:kern w:val="0"/>
          <w:lang w:val="en-US"/>
        </w:rPr>
        <w:t>附件</w:t>
      </w:r>
      <w:bookmarkEnd w:id="0"/>
    </w:p>
    <w:p>
      <w:pPr>
        <w:pStyle w:val="2"/>
        <w:autoSpaceDE w:val="0"/>
        <w:autoSpaceDN w:val="0"/>
        <w:adjustRightInd w:val="0"/>
        <w:spacing w:line="560" w:lineRule="exact"/>
        <w:ind w:firstLine="880" w:firstLineChars="200"/>
        <w:jc w:val="center"/>
        <w:rPr>
          <w:rFonts w:ascii="黑体" w:eastAsia="黑体"/>
          <w:kern w:val="0"/>
          <w:sz w:val="44"/>
          <w:szCs w:val="44"/>
          <w:lang w:val="en-US"/>
        </w:rPr>
      </w:pPr>
      <w:r>
        <w:rPr>
          <w:rFonts w:hint="eastAsia" w:ascii="方正小标宋简体" w:hAnsi="方正小标宋简体" w:eastAsia="方正小标宋简体" w:cs="方正小标宋简体"/>
          <w:kern w:val="0"/>
          <w:sz w:val="44"/>
          <w:szCs w:val="44"/>
          <w:lang w:val="en-US"/>
        </w:rPr>
        <w:t>2021年河南高等学历继续教育学士学位外语水平联考考试实施方案</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lang w:eastAsia="zh-CN"/>
        </w:rPr>
        <w:t>为进一步推进河南高等学历继续教育学士学位外语水平联盟（以下简称“联盟”）的考务工作，做好 2021 年高等学历继续教育学士学位外语水平联考的组织与管理，特制定学位外语联考实施方案如下：</w:t>
      </w:r>
    </w:p>
    <w:p>
      <w:pPr>
        <w:widowControl/>
        <w:spacing w:line="560" w:lineRule="exact"/>
        <w:ind w:firstLine="600" w:firstLineChars="200"/>
        <w:rPr>
          <w:rFonts w:ascii="黑体" w:hAnsi="黑体" w:eastAsia="黑体" w:cs="黑体"/>
          <w:color w:val="000000"/>
          <w:kern w:val="0"/>
          <w:sz w:val="30"/>
          <w:szCs w:val="30"/>
          <w:lang w:bidi="ar"/>
        </w:rPr>
      </w:pPr>
      <w:r>
        <w:rPr>
          <w:rFonts w:hint="eastAsia" w:ascii="黑体" w:hAnsi="黑体" w:eastAsia="黑体" w:cs="黑体"/>
          <w:color w:val="000000"/>
          <w:kern w:val="0"/>
          <w:sz w:val="30"/>
          <w:szCs w:val="30"/>
          <w:lang w:bidi="ar"/>
        </w:rPr>
        <w:t>一、考试工作安排</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lang w:eastAsia="zh-CN"/>
        </w:rPr>
        <w:t>（一）考试时间安排</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lang w:eastAsia="zh-CN"/>
        </w:rPr>
        <w:t>根据联盟工作安排，由参考高校通知符合条件的考生于 2021 年</w:t>
      </w:r>
      <w:r>
        <w:rPr>
          <w:rFonts w:hint="eastAsia" w:ascii="仿宋_GB2312" w:hAnsi="仿宋_GB2312" w:eastAsia="仿宋_GB2312" w:cs="仿宋_GB2312"/>
          <w:sz w:val="30"/>
          <w:szCs w:val="30"/>
          <w:highlight w:val="none"/>
          <w:lang w:eastAsia="zh-CN"/>
        </w:rPr>
        <w:tab/>
      </w:r>
      <w:r>
        <w:rPr>
          <w:rFonts w:hint="eastAsia" w:ascii="仿宋_GB2312" w:hAnsi="仿宋_GB2312" w:eastAsia="仿宋_GB2312" w:cs="仿宋_GB2312"/>
          <w:sz w:val="30"/>
          <w:szCs w:val="30"/>
          <w:highlight w:val="none"/>
          <w:lang w:eastAsia="zh-CN"/>
        </w:rPr>
        <w:t>6</w:t>
      </w:r>
      <w:r>
        <w:rPr>
          <w:rFonts w:hint="eastAsia" w:ascii="仿宋_GB2312" w:hAnsi="仿宋_GB2312" w:eastAsia="仿宋_GB2312" w:cs="仿宋_GB2312"/>
          <w:sz w:val="30"/>
          <w:szCs w:val="30"/>
          <w:highlight w:val="none"/>
          <w:lang w:eastAsia="zh-CN"/>
        </w:rPr>
        <w:tab/>
      </w:r>
      <w:r>
        <w:rPr>
          <w:rFonts w:hint="eastAsia" w:ascii="仿宋_GB2312" w:hAnsi="仿宋_GB2312" w:eastAsia="仿宋_GB2312" w:cs="仿宋_GB2312"/>
          <w:sz w:val="30"/>
          <w:szCs w:val="30"/>
          <w:highlight w:val="none"/>
          <w:lang w:eastAsia="zh-CN"/>
        </w:rPr>
        <w:t>月</w:t>
      </w:r>
      <w:r>
        <w:rPr>
          <w:rFonts w:hint="eastAsia" w:ascii="仿宋_GB2312" w:hAnsi="仿宋_GB2312" w:eastAsia="仿宋_GB2312" w:cs="仿宋_GB2312"/>
          <w:sz w:val="30"/>
          <w:szCs w:val="30"/>
          <w:highlight w:val="none"/>
          <w:lang w:eastAsia="zh-CN"/>
        </w:rPr>
        <w:tab/>
      </w:r>
      <w:r>
        <w:rPr>
          <w:rFonts w:hint="eastAsia" w:ascii="仿宋_GB2312" w:hAnsi="仿宋_GB2312" w:eastAsia="仿宋_GB2312" w:cs="仿宋_GB2312"/>
          <w:sz w:val="30"/>
          <w:szCs w:val="30"/>
          <w:highlight w:val="none"/>
          <w:lang w:eastAsia="zh-CN"/>
        </w:rPr>
        <w:t>10</w:t>
      </w:r>
      <w:r>
        <w:rPr>
          <w:rFonts w:hint="eastAsia" w:ascii="仿宋_GB2312" w:hAnsi="仿宋_GB2312" w:eastAsia="仿宋_GB2312" w:cs="仿宋_GB2312"/>
          <w:sz w:val="30"/>
          <w:szCs w:val="30"/>
          <w:highlight w:val="none"/>
          <w:lang w:eastAsia="zh-CN"/>
        </w:rPr>
        <w:tab/>
      </w:r>
      <w:r>
        <w:rPr>
          <w:rFonts w:hint="eastAsia" w:ascii="仿宋_GB2312" w:hAnsi="仿宋_GB2312" w:eastAsia="仿宋_GB2312" w:cs="仿宋_GB2312"/>
          <w:sz w:val="30"/>
          <w:szCs w:val="30"/>
          <w:highlight w:val="none"/>
          <w:lang w:eastAsia="zh-CN"/>
        </w:rPr>
        <w:t>日</w:t>
      </w:r>
      <w:r>
        <w:rPr>
          <w:rFonts w:hint="eastAsia" w:ascii="仿宋_GB2312" w:hAnsi="仿宋_GB2312" w:eastAsia="仿宋_GB2312" w:cs="仿宋_GB2312"/>
          <w:sz w:val="30"/>
          <w:szCs w:val="30"/>
          <w:highlight w:val="none"/>
          <w:lang w:eastAsia="zh-CN"/>
        </w:rPr>
        <w:tab/>
      </w:r>
      <w:r>
        <w:rPr>
          <w:rFonts w:hint="eastAsia" w:ascii="仿宋_GB2312" w:hAnsi="仿宋_GB2312" w:eastAsia="仿宋_GB2312" w:cs="仿宋_GB2312"/>
          <w:sz w:val="30"/>
          <w:szCs w:val="30"/>
          <w:highlight w:val="none"/>
          <w:lang w:eastAsia="zh-CN"/>
        </w:rPr>
        <w:t>—</w:t>
      </w:r>
      <w:r>
        <w:rPr>
          <w:rFonts w:hint="eastAsia" w:ascii="仿宋_GB2312" w:hAnsi="仿宋_GB2312" w:eastAsia="仿宋_GB2312" w:cs="仿宋_GB2312"/>
          <w:sz w:val="30"/>
          <w:szCs w:val="30"/>
          <w:highlight w:val="none"/>
          <w:lang w:eastAsia="zh-CN"/>
        </w:rPr>
        <w:tab/>
      </w:r>
      <w:r>
        <w:rPr>
          <w:rFonts w:hint="eastAsia" w:ascii="仿宋_GB2312" w:hAnsi="仿宋_GB2312" w:eastAsia="仿宋_GB2312" w:cs="仿宋_GB2312"/>
          <w:sz w:val="30"/>
          <w:szCs w:val="30"/>
          <w:highlight w:val="none"/>
          <w:lang w:eastAsia="zh-CN"/>
        </w:rPr>
        <w:t>25</w:t>
      </w:r>
      <w:r>
        <w:rPr>
          <w:rFonts w:hint="eastAsia" w:ascii="仿宋_GB2312" w:hAnsi="仿宋_GB2312" w:eastAsia="仿宋_GB2312" w:cs="仿宋_GB2312"/>
          <w:sz w:val="30"/>
          <w:szCs w:val="30"/>
          <w:highlight w:val="none"/>
          <w:lang w:eastAsia="zh-CN"/>
        </w:rPr>
        <w:tab/>
      </w:r>
      <w:r>
        <w:rPr>
          <w:rFonts w:hint="eastAsia" w:ascii="仿宋_GB2312" w:hAnsi="仿宋_GB2312" w:eastAsia="仿宋_GB2312" w:cs="仿宋_GB2312"/>
          <w:sz w:val="30"/>
          <w:szCs w:val="30"/>
          <w:highlight w:val="none"/>
          <w:lang w:eastAsia="zh-CN"/>
        </w:rPr>
        <w:t>日</w:t>
      </w:r>
      <w:r>
        <w:rPr>
          <w:rFonts w:hint="eastAsia" w:ascii="仿宋_GB2312" w:hAnsi="仿宋_GB2312" w:eastAsia="仿宋_GB2312" w:cs="仿宋_GB2312"/>
          <w:sz w:val="30"/>
          <w:szCs w:val="30"/>
          <w:highlight w:val="none"/>
          <w:lang w:eastAsia="zh-CN"/>
        </w:rPr>
        <w:tab/>
      </w:r>
      <w:r>
        <w:rPr>
          <w:rFonts w:hint="eastAsia" w:ascii="仿宋_GB2312" w:hAnsi="仿宋_GB2312" w:eastAsia="仿宋_GB2312" w:cs="仿宋_GB2312"/>
          <w:sz w:val="30"/>
          <w:szCs w:val="30"/>
          <w:highlight w:val="none"/>
          <w:lang w:eastAsia="zh-CN"/>
        </w:rPr>
        <w:t>登</w:t>
      </w:r>
      <w:r>
        <w:rPr>
          <w:rFonts w:hint="eastAsia" w:ascii="仿宋_GB2312" w:hAnsi="仿宋_GB2312" w:eastAsia="仿宋_GB2312" w:cs="仿宋_GB2312"/>
          <w:sz w:val="30"/>
          <w:szCs w:val="30"/>
          <w:highlight w:val="none"/>
          <w:lang w:eastAsia="zh-CN"/>
        </w:rPr>
        <w:tab/>
      </w:r>
      <w:r>
        <w:rPr>
          <w:rFonts w:hint="eastAsia" w:ascii="仿宋_GB2312" w:hAnsi="仿宋_GB2312" w:eastAsia="仿宋_GB2312" w:cs="仿宋_GB2312"/>
          <w:sz w:val="30"/>
          <w:szCs w:val="30"/>
          <w:highlight w:val="none"/>
          <w:lang w:eastAsia="zh-CN"/>
        </w:rPr>
        <w:t>录</w:t>
      </w:r>
      <w:r>
        <w:rPr>
          <w:rFonts w:hint="eastAsia" w:ascii="仿宋_GB2312" w:hAnsi="仿宋_GB2312" w:eastAsia="仿宋_GB2312" w:cs="仿宋_GB2312"/>
          <w:sz w:val="30"/>
          <w:szCs w:val="30"/>
          <w:highlight w:val="none"/>
          <w:lang w:eastAsia="zh-CN"/>
        </w:rPr>
        <w:tab/>
      </w:r>
      <w:r>
        <w:rPr>
          <w:rFonts w:hint="eastAsia" w:ascii="仿宋_GB2312" w:hAnsi="仿宋_GB2312" w:eastAsia="仿宋_GB2312" w:cs="仿宋_GB2312"/>
          <w:sz w:val="30"/>
          <w:szCs w:val="30"/>
          <w:highlight w:val="none"/>
          <w:lang w:eastAsia="zh-CN"/>
        </w:rPr>
        <w:t>考</w:t>
      </w:r>
      <w:r>
        <w:rPr>
          <w:rFonts w:hint="eastAsia" w:ascii="仿宋_GB2312" w:hAnsi="仿宋_GB2312" w:eastAsia="仿宋_GB2312" w:cs="仿宋_GB2312"/>
          <w:sz w:val="30"/>
          <w:szCs w:val="30"/>
          <w:highlight w:val="none"/>
          <w:lang w:eastAsia="zh-CN"/>
        </w:rPr>
        <w:tab/>
      </w:r>
      <w:r>
        <w:rPr>
          <w:rFonts w:hint="eastAsia" w:ascii="仿宋_GB2312" w:hAnsi="仿宋_GB2312" w:eastAsia="仿宋_GB2312" w:cs="仿宋_GB2312"/>
          <w:sz w:val="30"/>
          <w:szCs w:val="30"/>
          <w:highlight w:val="none"/>
          <w:lang w:eastAsia="zh-CN"/>
        </w:rPr>
        <w:t>试</w:t>
      </w:r>
      <w:r>
        <w:rPr>
          <w:rFonts w:hint="eastAsia" w:ascii="仿宋_GB2312" w:hAnsi="仿宋_GB2312" w:eastAsia="仿宋_GB2312" w:cs="仿宋_GB2312"/>
          <w:sz w:val="30"/>
          <w:szCs w:val="30"/>
          <w:highlight w:val="none"/>
          <w:lang w:eastAsia="zh-CN"/>
        </w:rPr>
        <w:tab/>
      </w:r>
      <w:r>
        <w:rPr>
          <w:rFonts w:hint="eastAsia" w:ascii="仿宋_GB2312" w:hAnsi="仿宋_GB2312" w:eastAsia="仿宋_GB2312" w:cs="仿宋_GB2312"/>
          <w:sz w:val="30"/>
          <w:szCs w:val="30"/>
          <w:highlight w:val="none"/>
          <w:lang w:eastAsia="zh-CN"/>
        </w:rPr>
        <w:t>报</w:t>
      </w:r>
      <w:r>
        <w:rPr>
          <w:rFonts w:hint="eastAsia" w:ascii="仿宋_GB2312" w:hAnsi="仿宋_GB2312" w:eastAsia="仿宋_GB2312" w:cs="仿宋_GB2312"/>
          <w:sz w:val="30"/>
          <w:szCs w:val="30"/>
          <w:highlight w:val="none"/>
          <w:lang w:eastAsia="zh-CN"/>
        </w:rPr>
        <w:tab/>
      </w:r>
      <w:r>
        <w:rPr>
          <w:rFonts w:hint="eastAsia" w:ascii="仿宋_GB2312" w:hAnsi="仿宋_GB2312" w:eastAsia="仿宋_GB2312" w:cs="仿宋_GB2312"/>
          <w:sz w:val="30"/>
          <w:szCs w:val="30"/>
          <w:highlight w:val="none"/>
          <w:lang w:eastAsia="zh-CN"/>
        </w:rPr>
        <w:t>名</w:t>
      </w:r>
      <w:r>
        <w:rPr>
          <w:rFonts w:hint="eastAsia" w:ascii="仿宋_GB2312" w:hAnsi="仿宋_GB2312" w:eastAsia="仿宋_GB2312" w:cs="仿宋_GB2312"/>
          <w:sz w:val="30"/>
          <w:szCs w:val="30"/>
          <w:highlight w:val="none"/>
          <w:lang w:eastAsia="zh-CN"/>
        </w:rPr>
        <w:tab/>
      </w:r>
      <w:r>
        <w:rPr>
          <w:rFonts w:hint="eastAsia" w:ascii="仿宋_GB2312" w:hAnsi="仿宋_GB2312" w:eastAsia="仿宋_GB2312" w:cs="仿宋_GB2312"/>
          <w:sz w:val="30"/>
          <w:szCs w:val="30"/>
          <w:highlight w:val="none"/>
          <w:lang w:eastAsia="zh-CN"/>
        </w:rPr>
        <w:t>系</w:t>
      </w:r>
      <w:r>
        <w:rPr>
          <w:rFonts w:hint="eastAsia" w:ascii="仿宋_GB2312" w:hAnsi="仿宋_GB2312" w:eastAsia="仿宋_GB2312" w:cs="仿宋_GB2312"/>
          <w:sz w:val="30"/>
          <w:szCs w:val="30"/>
          <w:highlight w:val="none"/>
          <w:lang w:eastAsia="zh-CN"/>
        </w:rPr>
        <w:tab/>
      </w:r>
      <w:r>
        <w:rPr>
          <w:rFonts w:hint="eastAsia" w:ascii="仿宋_GB2312" w:hAnsi="仿宋_GB2312" w:eastAsia="仿宋_GB2312" w:cs="仿宋_GB2312"/>
          <w:sz w:val="30"/>
          <w:szCs w:val="30"/>
          <w:highlight w:val="none"/>
          <w:lang w:eastAsia="zh-CN"/>
        </w:rPr>
        <w:t>统http://xwwy.jxjypt.cn/wyks 进行网上报名、资格审查、缴费等工作；9 月 15 日—22 日登录报名系统打印准考证（考生具体考试时间见准考证）；考试将于 2021 年 9 月 25 日、26 日举行。</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lang w:eastAsia="zh-CN"/>
        </w:rPr>
        <w:t>（二）考试题型及分值（由命题组根据考试大纲确定）</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lang w:eastAsia="zh-CN"/>
        </w:rPr>
        <w:t>1、学位英语科目考试题型及分值如下：</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lang w:eastAsia="zh-CN"/>
        </w:rPr>
        <w:t>（1）词汇。本部分为单选题，共设 20 题，每题 1 分，满分为 20 分。</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lang w:eastAsia="zh-CN"/>
        </w:rPr>
        <w:t>（2）完形填空。本部分为单选题，一篇短文，10 个空，每个空四个选项，每空 2 分，满分为 20 分。</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lang w:eastAsia="zh-CN"/>
        </w:rPr>
        <w:t>（3）阅读理解。本部分为单选题，两篇文章，共 10 个小题，每小题 2 分，满分为 20 分。</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lang w:eastAsia="zh-CN"/>
        </w:rPr>
        <w:t>（4）英译汉。本部分为主观题，段落翻译，共 2 段，每段 10 分，满分为 20 分。</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lang w:eastAsia="zh-CN"/>
        </w:rPr>
        <w:t>（5）作文。本部分为主观题，写一篇 100 词左右的文章，满分为 20 分。考试时长 90 分钟，满分为 100 分。</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lang w:eastAsia="zh-CN"/>
        </w:rPr>
        <w:t>2、学位日语科目考试题型及分值如下：</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lang w:eastAsia="zh-CN"/>
        </w:rPr>
        <w:t>（1）词汇。本部分为单选题，共设 20 题，每题 1 分，满分为 20 分。</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lang w:eastAsia="zh-CN"/>
        </w:rPr>
        <w:t>（2）语法。本部分为单选题，共设 20 题，每题 1 分，满分为 20 分。</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lang w:eastAsia="zh-CN"/>
        </w:rPr>
        <w:t xml:space="preserve">（3）阅读理解。本部分共有三种题型：1.单句理解，共设5题；2.短文理解 2 篇，每篇短文 5 问；3.中篇阅读一篇，共设5问。共20题，每题2分，满分为40分。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lang w:eastAsia="zh-CN"/>
        </w:rPr>
        <w:t xml:space="preserve">（4）日译汉。本部分为主观题，段落翻译，共 2 段，每段 10 分，满分为20分。考试时长90分钟，满分为100分。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lang w:eastAsia="zh-CN"/>
        </w:rPr>
        <w:t xml:space="preserve">（三）考点设置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lang w:eastAsia="zh-CN"/>
        </w:rPr>
        <w:t xml:space="preserve">根据参考高校考生分布情况以及考生意愿，最大限度满足考生对考点的实际需求。由联盟理事会委托北京联大时代网络科技有限公司与承接机考的地市院校签订合作协议。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lang w:eastAsia="zh-CN"/>
        </w:rPr>
        <w:t xml:space="preserve">（四）各考点考试具体安排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lang w:eastAsia="zh-CN"/>
        </w:rPr>
        <w:t xml:space="preserve">根据各考点机房、机位数等配置情况，本着紧凑安排的原则，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lang w:eastAsia="zh-CN"/>
        </w:rPr>
        <w:t xml:space="preserve">每个机房每天安排2-4 个考次，每个考次时间为 90 分钟。每天考试轮次如下：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lang w:eastAsia="zh-CN"/>
        </w:rPr>
        <w:t xml:space="preserve">轮次一：8:30 ——10:00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lang w:eastAsia="zh-CN"/>
        </w:rPr>
        <w:t xml:space="preserve">轮次二：10:30——12:00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lang w:eastAsia="zh-CN"/>
        </w:rPr>
        <w:t xml:space="preserve">轮次三：14:00——15:30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lang w:eastAsia="zh-CN"/>
        </w:rPr>
        <w:t xml:space="preserve">轮次四：16:00——17:30 </w:t>
      </w:r>
    </w:p>
    <w:p>
      <w:pPr>
        <w:widowControl/>
        <w:spacing w:line="560" w:lineRule="exact"/>
        <w:ind w:firstLine="600" w:firstLineChars="200"/>
        <w:rPr>
          <w:rFonts w:ascii="黑体" w:hAnsi="黑体" w:eastAsia="黑体" w:cs="黑体"/>
          <w:color w:val="000000"/>
          <w:kern w:val="0"/>
          <w:sz w:val="30"/>
          <w:szCs w:val="30"/>
          <w:lang w:bidi="ar"/>
        </w:rPr>
      </w:pPr>
      <w:r>
        <w:rPr>
          <w:rFonts w:hint="eastAsia" w:ascii="黑体" w:hAnsi="黑体" w:eastAsia="黑体" w:cs="黑体"/>
          <w:color w:val="000000"/>
          <w:kern w:val="0"/>
          <w:sz w:val="30"/>
          <w:szCs w:val="30"/>
          <w:lang w:bidi="ar"/>
        </w:rPr>
        <w:t xml:space="preserve">二、考试管理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lang w:eastAsia="zh-CN"/>
        </w:rPr>
        <w:t xml:space="preserve">（一）考生提醒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lang w:eastAsia="zh-CN"/>
        </w:rPr>
        <w:t xml:space="preserve">联盟秘书处将于考前发短信提醒考生登录系统查询考试信息并打印准考证；考生须带身份证、准考证、戴口罩，出示健康码且是绿码，测体温且体温正常方可入场，参加考试期间进入考点需佩戴口罩，做好个人防护等措施。由于各考点停车位有限，考生不要自驾参加考试，确需自驾前往请行做好停车准备。请各参考高校对考生做好提醒。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lang w:eastAsia="zh-CN"/>
        </w:rPr>
        <w:t xml:space="preserve">（二）考试培训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lang w:eastAsia="zh-CN"/>
        </w:rPr>
        <w:t xml:space="preserve">考前两周将召开考点专题工作会议（会议通知另发），对各考点负责人、考试组织管理人员、技术保障人员进行工作部署、考试工作培训。各考点要做好监考人员培训工作。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lang w:eastAsia="zh-CN"/>
        </w:rPr>
        <w:t xml:space="preserve">（三）考试督查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lang w:eastAsia="zh-CN"/>
        </w:rPr>
        <w:t>各参考高校安排继续教育学院或相关管理部门负责人，参与考试督查工作；各参考高校安排考试管理人员，主要负责本校考生的联络工作，指导、协助考点做好考生管理服务工作；参考高校工作人员差旅费用自理。考评联盟将安排人员赴各考点进行考试工作督查。</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lang w:eastAsia="zh-CN"/>
        </w:rPr>
        <w:t xml:space="preserve">（四）考场管理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lang w:eastAsia="zh-CN"/>
        </w:rPr>
        <w:t xml:space="preserve">各考点要根据考评联盟设计的考试统一标牌，完善考场环境建设。监考人员必须严格按照考场规则严肃执考。所有考场考试期间启用监控设备，考试结束后，所有监控录像汇总保存、备查。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lang w:eastAsia="zh-CN"/>
        </w:rPr>
        <w:t xml:space="preserve">（五）技术保障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lang w:eastAsia="zh-CN"/>
        </w:rPr>
        <w:t>考评联盟将会同考试系统开发公司，保障河南成人学士学位外语在线考试系统安全稳定运行；同时，在考试期间，组织公司技术开发人员赴各考点，指导考点技术人员全力做好技术支持服务工作。</w:t>
      </w:r>
    </w:p>
    <w:p>
      <w:pPr>
        <w:widowControl/>
        <w:spacing w:line="560" w:lineRule="exact"/>
        <w:ind w:firstLine="600" w:firstLineChars="200"/>
        <w:rPr>
          <w:rFonts w:ascii="黑体" w:hAnsi="黑体" w:eastAsia="黑体" w:cs="黑体"/>
          <w:color w:val="000000"/>
          <w:kern w:val="0"/>
          <w:sz w:val="30"/>
          <w:szCs w:val="30"/>
          <w:lang w:bidi="ar"/>
        </w:rPr>
      </w:pPr>
      <w:r>
        <w:rPr>
          <w:rFonts w:hint="eastAsia" w:ascii="黑体" w:hAnsi="黑体" w:eastAsia="黑体" w:cs="黑体"/>
          <w:color w:val="000000"/>
          <w:kern w:val="0"/>
          <w:sz w:val="30"/>
          <w:szCs w:val="30"/>
          <w:lang w:bidi="ar"/>
        </w:rPr>
        <w:t xml:space="preserve">三、疫情防控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lang w:eastAsia="zh-CN"/>
        </w:rPr>
        <w:t>各考点应根据当地疫情防控有关规定，做好相应准备工作。根据《国务院应对新型冠状病毒感染肺炎疫情联防联控机制关于做好新冠肺炎疫情常态化防控工作的指导意见》，当地疫情防控有关规定和河南省等学历继续教育学士学位外语考评联盟 2021 年学位外语联考工作疫情防控实施方案做好疫情防控工作。各参考高校、技术公司等工作人员在赴考点参加考试管理与服务过程中要做好防护工作。</w:t>
      </w:r>
    </w:p>
    <w:p>
      <w:pPr>
        <w:widowControl/>
        <w:spacing w:line="560" w:lineRule="exact"/>
        <w:ind w:firstLine="600" w:firstLineChars="200"/>
        <w:rPr>
          <w:rFonts w:ascii="黑体" w:hAnsi="黑体" w:eastAsia="黑体" w:cs="黑体"/>
          <w:color w:val="000000"/>
          <w:kern w:val="0"/>
          <w:sz w:val="30"/>
          <w:szCs w:val="30"/>
          <w:lang w:bidi="ar"/>
        </w:rPr>
      </w:pPr>
      <w:r>
        <w:rPr>
          <w:rFonts w:hint="eastAsia" w:ascii="黑体" w:hAnsi="黑体" w:eastAsia="黑体" w:cs="黑体"/>
          <w:color w:val="000000"/>
          <w:kern w:val="0"/>
          <w:sz w:val="30"/>
          <w:szCs w:val="30"/>
          <w:lang w:bidi="ar"/>
        </w:rPr>
        <w:t>四、成绩发布</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lang w:eastAsia="zh-CN"/>
        </w:rPr>
        <w:t>考试结束后，将召开联盟理事会参照全省统考时期的认定方式和标准，参考单位统一划定本次学位外语考试的合格控制线；考后一个月内发布考试结果，由报考学校公布本次考试合格名单。</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jc w:val="both"/>
        <w:textAlignment w:val="auto"/>
        <w:outlineLvl w:val="9"/>
        <w:rPr>
          <w:rFonts w:hint="eastAsia" w:ascii="仿宋_GB2312" w:hAnsi="仿宋_GB2312" w:eastAsia="仿宋_GB2312" w:cs="仿宋_GB2312"/>
          <w:sz w:val="30"/>
          <w:szCs w:val="30"/>
          <w:highlight w:val="none"/>
          <w:lang w:eastAsia="zh-CN"/>
        </w:rPr>
        <w:sectPr>
          <w:footerReference r:id="rId3" w:type="default"/>
          <w:pgSz w:w="11906" w:h="16838"/>
          <w:pgMar w:top="1417" w:right="1417" w:bottom="1417" w:left="1417" w:header="851" w:footer="992" w:gutter="0"/>
          <w:pgNumType w:fmt="numberInDash"/>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32"/>
        <w:szCs w:val="32"/>
      </w:rPr>
    </w:pPr>
    <w:r>
      <w:rPr>
        <w:sz w:val="32"/>
        <w:szCs w:val="3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3E4292"/>
    <w:rsid w:val="013E42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1"/>
    <w:rPr>
      <w:rFonts w:ascii="仿宋" w:hAnsi="仿宋" w:eastAsia="仿宋" w:cs="仿宋"/>
      <w:sz w:val="32"/>
      <w:szCs w:val="32"/>
      <w:lang w:val="zh-CN" w:bidi="zh-CN"/>
    </w:r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2021-05-25T02:59:00Z</dcterms:created>
  <dc:creator>郑真真</dc:creator>
  <cp:lastModifiedBy>郑真真</cp:lastModifiedBy>
  <dcterms:modified xsi:type="dcterms:W3CDTF">2021-05-25T03:00:21Z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45AF8E568CB74BD0A69086349C2671AF</vt:lpwstr>
  </property>
</Properties>
</file>