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  <w:t>2022年河南省教育综合改革项目指南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大中小学思政课一体化建设改革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民办义务教育规范管理改革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农村教师资源配置与管理改革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新时代高校党的建设四位一体机制改革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新时代高校思政工作队伍建设改革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高等院校现代化治理改革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教育事业统计数据可视化改革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新时代学校评价改革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新时代教师评价改革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新时代学生评价改革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新时代用人评价改革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高等教育结构布局调整优化改革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乡村振兴背景下农村中小学育人方式改革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经济新常态下教育投入体制机制改革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高校零基预算改革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普通高中多样化发展改革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新时代高等学历继续教育改革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职业院校结构与产业结构调整优化改革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职业本科教育人才培养模式改革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深化新时代本科专业结构调整优化改革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乡村教师补充机制改革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深化新时代高等学校科研评价改革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教育国际合作与交流评价改革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中招美育考试评价改革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高校哲学社会科学评价改革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专业学位研究生教育综合改革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2021-12-27T11:35:36Z</dcterms:created>
  <dc:creator>AYXY</dc:creator>
  <cp:lastModifiedBy>AYXY</cp:lastModifiedBy>
  <dcterms:modified xsi:type="dcterms:W3CDTF">2021-12-27T11:36:31Z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8901507E8FEE4354B6AEA24DCAFBB45A</vt:lpwstr>
  </property>
</Properties>
</file>