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962E7">
      <w:pPr>
        <w:pStyle w:val="1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计算机科学与数学学院</w:t>
      </w:r>
    </w:p>
    <w:p w14:paraId="1B419773">
      <w:pPr>
        <w:pStyle w:val="18"/>
      </w:pPr>
      <w:r>
        <w:rPr>
          <w:rFonts w:hint="eastAsia"/>
          <w:lang w:val="en-US" w:eastAsia="zh-CN"/>
        </w:rPr>
        <w:t>专业相关</w:t>
      </w:r>
      <w:bookmarkStart w:id="0" w:name="_GoBack"/>
      <w:bookmarkEnd w:id="0"/>
      <w:r>
        <w:rPr>
          <w:rFonts w:hint="eastAsia"/>
        </w:rPr>
        <w:t>技能、行业资格证书参考</w:t>
      </w:r>
    </w:p>
    <w:p w14:paraId="1EFF7D72">
      <w:pPr>
        <w:rPr>
          <w:rFonts w:hint="eastAsia"/>
        </w:rPr>
      </w:pPr>
    </w:p>
    <w:tbl>
      <w:tblPr>
        <w:tblStyle w:val="2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8"/>
        <w:gridCol w:w="3832"/>
      </w:tblGrid>
      <w:tr w14:paraId="10BF2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6F08D909">
            <w:pPr>
              <w:pStyle w:val="13"/>
              <w:snapToGrid/>
              <w:ind w:firstLine="0" w:firstLineChars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2115" w:type="pct"/>
            <w:vAlign w:val="center"/>
          </w:tcPr>
          <w:p w14:paraId="417B3045">
            <w:pPr>
              <w:pStyle w:val="13"/>
              <w:snapToGrid/>
              <w:ind w:firstLine="0" w:firstLineChars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0"/>
                <w:sz w:val="28"/>
                <w:szCs w:val="28"/>
              </w:rPr>
              <w:t>主办机构</w:t>
            </w:r>
          </w:p>
        </w:tc>
      </w:tr>
      <w:tr w14:paraId="09D2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110C9AB9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全国计算机等级考试</w:t>
            </w:r>
            <w:r>
              <w:rPr>
                <w:kern w:val="0"/>
                <w:sz w:val="28"/>
                <w:szCs w:val="28"/>
              </w:rPr>
              <w:t>(NCRE)</w:t>
            </w:r>
          </w:p>
        </w:tc>
        <w:tc>
          <w:tcPr>
            <w:tcW w:w="2115" w:type="pct"/>
            <w:vAlign w:val="center"/>
          </w:tcPr>
          <w:p w14:paraId="2B986F8B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教育部教育考试院</w:t>
            </w:r>
          </w:p>
        </w:tc>
      </w:tr>
      <w:tr w14:paraId="0CCA5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5E6F4AA4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计算机技术与软件专业技术资格</w:t>
            </w:r>
            <w:r>
              <w:rPr>
                <w:kern w:val="0"/>
                <w:sz w:val="28"/>
                <w:szCs w:val="28"/>
              </w:rPr>
              <w:t>(</w:t>
            </w:r>
            <w:r>
              <w:rPr>
                <w:rFonts w:hint="eastAsia"/>
                <w:kern w:val="0"/>
                <w:sz w:val="28"/>
                <w:szCs w:val="28"/>
              </w:rPr>
              <w:t>软考</w:t>
            </w:r>
            <w:r>
              <w:rPr>
                <w:kern w:val="0"/>
                <w:sz w:val="28"/>
                <w:szCs w:val="28"/>
              </w:rPr>
              <w:t>)</w:t>
            </w:r>
          </w:p>
        </w:tc>
        <w:tc>
          <w:tcPr>
            <w:tcW w:w="2115" w:type="pct"/>
            <w:vAlign w:val="center"/>
          </w:tcPr>
          <w:p w14:paraId="6E8F4E97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人社部、工信部</w:t>
            </w:r>
          </w:p>
        </w:tc>
      </w:tr>
      <w:tr w14:paraId="09EE7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0C6D8AF1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信息技术应用创新</w:t>
            </w:r>
            <w:r>
              <w:rPr>
                <w:kern w:val="0"/>
                <w:sz w:val="28"/>
                <w:szCs w:val="28"/>
              </w:rPr>
              <w:t>(</w:t>
            </w:r>
            <w:r>
              <w:rPr>
                <w:rFonts w:hint="eastAsia"/>
                <w:kern w:val="0"/>
                <w:sz w:val="28"/>
                <w:szCs w:val="28"/>
              </w:rPr>
              <w:t>信创认证</w:t>
            </w:r>
            <w:r>
              <w:rPr>
                <w:kern w:val="0"/>
                <w:sz w:val="28"/>
                <w:szCs w:val="28"/>
              </w:rPr>
              <w:t>)</w:t>
            </w:r>
          </w:p>
        </w:tc>
        <w:tc>
          <w:tcPr>
            <w:tcW w:w="2115" w:type="pct"/>
            <w:vAlign w:val="center"/>
          </w:tcPr>
          <w:p w14:paraId="6177F619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工信部教育与考试中心</w:t>
            </w:r>
          </w:p>
        </w:tc>
      </w:tr>
      <w:tr w14:paraId="05217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154F9D9E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精算师职业资格证书 (CAA)</w:t>
            </w:r>
          </w:p>
        </w:tc>
        <w:tc>
          <w:tcPr>
            <w:tcW w:w="2115" w:type="pct"/>
            <w:vAlign w:val="center"/>
          </w:tcPr>
          <w:p w14:paraId="2A5E77AA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中国精算师协会</w:t>
            </w:r>
          </w:p>
        </w:tc>
      </w:tr>
      <w:tr w14:paraId="565D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5954C4B4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统计专业技术资格</w:t>
            </w:r>
          </w:p>
        </w:tc>
        <w:tc>
          <w:tcPr>
            <w:tcW w:w="2115" w:type="pct"/>
            <w:vAlign w:val="center"/>
          </w:tcPr>
          <w:p w14:paraId="240B08CE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人社部、国家统计局</w:t>
            </w:r>
          </w:p>
        </w:tc>
      </w:tr>
      <w:tr w14:paraId="2A3FF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6C1A2AD5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数据分析师 (CDA)</w:t>
            </w:r>
          </w:p>
        </w:tc>
        <w:tc>
          <w:tcPr>
            <w:tcW w:w="2115" w:type="pct"/>
            <w:vAlign w:val="center"/>
          </w:tcPr>
          <w:p w14:paraId="42EA1BF9">
            <w:pPr>
              <w:pStyle w:val="13"/>
              <w:snapToGrid/>
              <w:ind w:firstLine="0" w:firstLineChars="0"/>
              <w:jc w:val="center"/>
              <w:rPr>
                <w:rFonts w:hint="eastAsia"/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CDA协会</w:t>
            </w:r>
          </w:p>
        </w:tc>
      </w:tr>
      <w:tr w14:paraId="32F5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1D604B0D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阿里云认证</w:t>
            </w:r>
            <w:r>
              <w:rPr>
                <w:kern w:val="0"/>
                <w:sz w:val="28"/>
                <w:szCs w:val="28"/>
              </w:rPr>
              <w:t>(ACA/ACP/ACE)</w:t>
            </w:r>
          </w:p>
        </w:tc>
        <w:tc>
          <w:tcPr>
            <w:tcW w:w="2115" w:type="pct"/>
            <w:vAlign w:val="center"/>
          </w:tcPr>
          <w:p w14:paraId="122C068B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阿里云</w:t>
            </w:r>
          </w:p>
        </w:tc>
      </w:tr>
      <w:tr w14:paraId="1599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653BAE10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华为认证</w:t>
            </w:r>
          </w:p>
        </w:tc>
        <w:tc>
          <w:tcPr>
            <w:tcW w:w="2115" w:type="pct"/>
            <w:vAlign w:val="center"/>
          </w:tcPr>
          <w:p w14:paraId="3D9198A5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华为</w:t>
            </w:r>
          </w:p>
        </w:tc>
      </w:tr>
      <w:tr w14:paraId="4A70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6A6B7791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思科认证</w:t>
            </w:r>
          </w:p>
        </w:tc>
        <w:tc>
          <w:tcPr>
            <w:tcW w:w="2115" w:type="pct"/>
            <w:vAlign w:val="center"/>
          </w:tcPr>
          <w:p w14:paraId="37D6E731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思科</w:t>
            </w:r>
          </w:p>
        </w:tc>
      </w:tr>
      <w:tr w14:paraId="4646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1080A634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小红帽认证</w:t>
            </w:r>
          </w:p>
        </w:tc>
        <w:tc>
          <w:tcPr>
            <w:tcW w:w="2115" w:type="pct"/>
            <w:vAlign w:val="center"/>
          </w:tcPr>
          <w:p w14:paraId="3274CF71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L</w:t>
            </w:r>
            <w:r>
              <w:rPr>
                <w:rFonts w:hint="eastAsia"/>
                <w:kern w:val="0"/>
                <w:sz w:val="28"/>
                <w:szCs w:val="28"/>
              </w:rPr>
              <w:t>inux（小红帽）</w:t>
            </w:r>
          </w:p>
        </w:tc>
      </w:tr>
      <w:tr w14:paraId="4545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  <w:vAlign w:val="center"/>
          </w:tcPr>
          <w:p w14:paraId="68D1B522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Oracle认证</w:t>
            </w:r>
          </w:p>
        </w:tc>
        <w:tc>
          <w:tcPr>
            <w:tcW w:w="2115" w:type="pct"/>
            <w:vAlign w:val="center"/>
          </w:tcPr>
          <w:p w14:paraId="501EB656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Oracle</w:t>
            </w:r>
          </w:p>
        </w:tc>
      </w:tr>
      <w:tr w14:paraId="047F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43DF3DF8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大学英语四、六级考试(CET-4/6)</w:t>
            </w:r>
          </w:p>
        </w:tc>
        <w:tc>
          <w:tcPr>
            <w:tcW w:w="2115" w:type="pct"/>
          </w:tcPr>
          <w:p w14:paraId="66592224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教育部教育考试院</w:t>
            </w:r>
          </w:p>
        </w:tc>
      </w:tr>
      <w:tr w14:paraId="2827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68FFC188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全国计算机等级考试(NCRE)</w:t>
            </w:r>
          </w:p>
        </w:tc>
        <w:tc>
          <w:tcPr>
            <w:tcW w:w="2115" w:type="pct"/>
          </w:tcPr>
          <w:p w14:paraId="36B06535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教育部教育考试院</w:t>
            </w:r>
          </w:p>
        </w:tc>
      </w:tr>
      <w:tr w14:paraId="5F59D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589884F0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中小学教师资格证</w:t>
            </w:r>
          </w:p>
        </w:tc>
        <w:tc>
          <w:tcPr>
            <w:tcW w:w="2115" w:type="pct"/>
          </w:tcPr>
          <w:p w14:paraId="6E30C09A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教育部考试中心</w:t>
            </w:r>
          </w:p>
        </w:tc>
      </w:tr>
      <w:tr w14:paraId="0FE4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7090CC8F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普通话水平测试</w:t>
            </w:r>
          </w:p>
        </w:tc>
        <w:tc>
          <w:tcPr>
            <w:tcW w:w="2115" w:type="pct"/>
          </w:tcPr>
          <w:p w14:paraId="7E048EB8">
            <w:pPr>
              <w:pStyle w:val="13"/>
              <w:snapToGrid/>
              <w:ind w:firstLine="0" w:firstLineChars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国家语委</w:t>
            </w:r>
          </w:p>
        </w:tc>
      </w:tr>
      <w:tr w14:paraId="7272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2F1AA25E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托福(TOEFL)/雅思(IELTS)</w:t>
            </w:r>
          </w:p>
        </w:tc>
        <w:tc>
          <w:tcPr>
            <w:tcW w:w="2115" w:type="pct"/>
          </w:tcPr>
          <w:p w14:paraId="2BD3ABCB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ETS/IDP等</w:t>
            </w:r>
          </w:p>
        </w:tc>
      </w:tr>
      <w:tr w14:paraId="3D8FB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pct"/>
          </w:tcPr>
          <w:p w14:paraId="4F3590D2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第二外语证书</w:t>
            </w:r>
          </w:p>
        </w:tc>
        <w:tc>
          <w:tcPr>
            <w:tcW w:w="2115" w:type="pct"/>
          </w:tcPr>
          <w:p w14:paraId="5501B529">
            <w:pPr>
              <w:pStyle w:val="13"/>
              <w:snapToGrid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JLPT/TOPIK等官方机构</w:t>
            </w:r>
          </w:p>
        </w:tc>
      </w:tr>
    </w:tbl>
    <w:p w14:paraId="18BE99E7">
      <w:pPr>
        <w:pStyle w:val="3"/>
        <w:numPr>
          <w:ilvl w:val="0"/>
          <w:numId w:val="0"/>
        </w:numPr>
        <w:ind w:left="992"/>
      </w:pPr>
    </w:p>
    <w:p w14:paraId="4F54A6B0">
      <w:pPr>
        <w:rPr>
          <w:rFonts w:hint="eastAsia"/>
        </w:rPr>
      </w:pPr>
    </w:p>
    <w:p w14:paraId="25E8D041">
      <w:pPr>
        <w:pStyle w:val="3"/>
      </w:pPr>
      <w:r>
        <w:rPr>
          <w:rFonts w:hint="eastAsia"/>
        </w:rPr>
        <w:t>全国计算机等级考试(NCRE)</w:t>
      </w:r>
    </w:p>
    <w:p w14:paraId="6F048A69">
      <w:pPr>
        <w:pStyle w:val="13"/>
      </w:pPr>
      <w:r>
        <w:t>考试时间：每年3月、5月、9月、12月。</w:t>
      </w:r>
    </w:p>
    <w:p w14:paraId="32A870DF">
      <w:pPr>
        <w:pStyle w:val="13"/>
      </w:pPr>
      <w:r>
        <w:t>证书内容：分一至四级，涵盖计算机基础、Office、编程语言、数据库、网络技术等。</w:t>
      </w:r>
    </w:p>
    <w:p w14:paraId="02FEE5CB">
      <w:pPr>
        <w:pStyle w:val="13"/>
      </w:pPr>
      <w:r>
        <w:t>无报名门槛，直接登录全国计算机等级考试官网报名。</w:t>
      </w:r>
    </w:p>
    <w:p w14:paraId="46249A04">
      <w:pPr>
        <w:pStyle w:val="3"/>
      </w:pPr>
      <w:r>
        <w:rPr>
          <w:rFonts w:hint="eastAsia"/>
        </w:rPr>
        <w:t>计算机技术与软件专业技术资格（软考）</w:t>
      </w:r>
    </w:p>
    <w:p w14:paraId="6E66EDCA">
      <w:pPr>
        <w:pStyle w:val="13"/>
      </w:pPr>
      <w:r>
        <w:t>考试时间：每年5月下旬和11月上旬。2026年上半年报名约在3-4月，下半年约在8-9月。</w:t>
      </w:r>
    </w:p>
    <w:p w14:paraId="62616F00">
      <w:pPr>
        <w:pStyle w:val="13"/>
      </w:pPr>
      <w:r>
        <w:t>证书内容：分初、中、高三级。常见选择包括中级的系统集成项目管理工程师、软件设计师、网络工程师，以及高级的信息系统项目管理师（高项）、系统架构设计师。</w:t>
      </w:r>
    </w:p>
    <w:p w14:paraId="5AF0472F">
      <w:pPr>
        <w:pStyle w:val="13"/>
      </w:pPr>
      <w:r>
        <w:t>无报名门槛，考试费约170元（初级/中级）或255元（高级），登录中国计算机技术职业资格网报名。在校大学生可直接报考高级信息系统项目管理师，考试为综合知识、案例分析和论文三科，全部机考。</w:t>
      </w:r>
    </w:p>
    <w:p w14:paraId="70900B8A">
      <w:pPr>
        <w:pStyle w:val="3"/>
      </w:pPr>
      <w:r>
        <w:t>信息技术应用创新 (信创认证)</w:t>
      </w:r>
    </w:p>
    <w:p w14:paraId="64CBE921">
      <w:pPr>
        <w:pStyle w:val="13"/>
      </w:pPr>
      <w:r>
        <w:t>考试时间：授权机构安排，无全国统一日期。</w:t>
      </w:r>
    </w:p>
    <w:p w14:paraId="1AF865C9">
      <w:pPr>
        <w:pStyle w:val="13"/>
      </w:pPr>
      <w:r>
        <w:t>证书内容：覆盖基础软硬件、云计算、大数据、人工智能等领域。</w:t>
      </w:r>
    </w:p>
    <w:p w14:paraId="40D12108">
      <w:pPr>
        <w:pStyle w:val="13"/>
      </w:pPr>
      <w:r>
        <w:t>由工业和信息化部教育与考试中心颁发，权威性高，证书长期有效。需通过授权机构报名参加培训和考试。</w:t>
      </w:r>
    </w:p>
    <w:p w14:paraId="05C7CEAF">
      <w:pPr>
        <w:pStyle w:val="3"/>
      </w:pPr>
      <w:r>
        <w:t>精算师职业资格证书 (CAA)</w:t>
      </w:r>
    </w:p>
    <w:p w14:paraId="5D50CFC9">
      <w:pPr>
        <w:pStyle w:val="13"/>
      </w:pPr>
      <w:r>
        <w:t>内容：分级进行。准精算师要考5门，包括《概率论与数理统计》《精算模型与数据分析》等核心科目。正精算师专业方向更细，如数据科学、金融风险管理等。</w:t>
      </w:r>
    </w:p>
    <w:p w14:paraId="0040456A">
      <w:pPr>
        <w:pStyle w:val="13"/>
      </w:pPr>
      <w:r>
        <w:t>时间：通常每年5月和10月举行两次考试。2025年下半年考试时间为10月25日-29日。报名一般在考前一至两个月。</w:t>
      </w:r>
    </w:p>
    <w:p w14:paraId="3CB39C7E">
      <w:pPr>
        <w:pStyle w:val="13"/>
      </w:pPr>
      <w:r>
        <w:t>报名：本科及以上学历（含在读）即可报考。通过中国精算师协会官网报名，一级考试费约200美元。</w:t>
      </w:r>
    </w:p>
    <w:p w14:paraId="54ACDA6D">
      <w:pPr>
        <w:pStyle w:val="3"/>
      </w:pPr>
      <w:r>
        <w:t>统计专业技术资格</w:t>
      </w:r>
    </w:p>
    <w:p w14:paraId="0644694F">
      <w:pPr>
        <w:pStyle w:val="13"/>
      </w:pPr>
      <w:r>
        <w:t>内容：分初、中、高三级。初级/中级考《统计基础理论及相关知识》和《统计工作实务》。教材使用国家统计局制定的。</w:t>
      </w:r>
    </w:p>
    <w:p w14:paraId="0988A9C9">
      <w:pPr>
        <w:pStyle w:val="13"/>
      </w:pPr>
      <w:r>
        <w:t>时间：2026年6月28日举行。考试报名在4月份，请关注各省人事考试网或统计局通知。</w:t>
      </w:r>
    </w:p>
    <w:p w14:paraId="5AE62C54">
      <w:pPr>
        <w:pStyle w:val="13"/>
      </w:pPr>
      <w:r>
        <w:t>报名：初级无工作经验要求，高年级即可报考。通过中国人事考试网（</w:t>
      </w:r>
      <w:r>
        <w:fldChar w:fldCharType="begin"/>
      </w:r>
      <w:r>
        <w:instrText xml:space="preserve"> HYPERLINK "https://www.cpta.com.cn/" \t "_blank" </w:instrText>
      </w:r>
      <w:r>
        <w:fldChar w:fldCharType="separate"/>
      </w:r>
      <w:r>
        <w:rPr>
          <w:rStyle w:val="26"/>
          <w:color w:val="auto"/>
          <w:u w:val="none"/>
        </w:rPr>
        <w:t>www.cpta.com.cn</w:t>
      </w:r>
      <w:r>
        <w:rPr>
          <w:rStyle w:val="26"/>
          <w:color w:val="auto"/>
          <w:u w:val="none"/>
        </w:rPr>
        <w:fldChar w:fldCharType="end"/>
      </w:r>
      <w:r>
        <w:t>）报名，每科40元。</w:t>
      </w:r>
    </w:p>
    <w:p w14:paraId="5F5440E1">
      <w:pPr>
        <w:pStyle w:val="3"/>
      </w:pPr>
      <w:r>
        <w:t>数据分析师 (CDA)</w:t>
      </w:r>
    </w:p>
    <w:p w14:paraId="3E49DADE">
      <w:pPr>
        <w:pStyle w:val="13"/>
      </w:pPr>
      <w:r>
        <w:t>内容：LEVEL 1考核业务数据分析，LEVEL 2考核数据挖掘与建模。</w:t>
      </w:r>
    </w:p>
    <w:p w14:paraId="325E5C67">
      <w:pPr>
        <w:pStyle w:val="13"/>
      </w:pPr>
      <w:r>
        <w:t>时间：每年3、6、9、12月组织全国统一考试，约提前两个月报名。</w:t>
      </w:r>
    </w:p>
    <w:p w14:paraId="690BA884">
      <w:pPr>
        <w:pStyle w:val="13"/>
      </w:pPr>
      <w:r>
        <w:t>报名：无学历门槛，通过CDA官方渠道报名。</w:t>
      </w:r>
    </w:p>
    <w:p w14:paraId="3D216CC6">
      <w:pPr>
        <w:pStyle w:val="3"/>
      </w:pPr>
      <w:r>
        <w:t>阿里云认证 (ACA/ACP/ACE)</w:t>
      </w:r>
    </w:p>
    <w:p w14:paraId="09B366FA">
      <w:pPr>
        <w:pStyle w:val="13"/>
      </w:pPr>
      <w:r>
        <w:t>考试时间：线上随时约考，全年灵活。</w:t>
      </w:r>
    </w:p>
    <w:p w14:paraId="19E73F93">
      <w:pPr>
        <w:pStyle w:val="13"/>
      </w:pPr>
      <w:r>
        <w:t>证书内容：分ACA（助理工程师）、ACP（专业工程师）、ACE（架构师）三级，涵盖云计算、大数据、云安全、人工智能等方向。</w:t>
      </w:r>
    </w:p>
    <w:p w14:paraId="1FF239DC">
      <w:pPr>
        <w:pStyle w:val="13"/>
      </w:pPr>
      <w:r>
        <w:t>无硬性报名门槛，可直接通过阿里云认证官网报名学习。</w:t>
      </w:r>
    </w:p>
    <w:p w14:paraId="2B0DD706">
      <w:pPr>
        <w:pStyle w:val="3"/>
      </w:pPr>
      <w:r>
        <w:rPr>
          <w:rFonts w:hint="eastAsia"/>
        </w:rPr>
        <w:t>华为认证（网络、通信）</w:t>
      </w:r>
    </w:p>
    <w:p w14:paraId="4CFEC750">
      <w:pPr>
        <w:pStyle w:val="13"/>
      </w:pPr>
      <w:r>
        <w:rPr>
          <w:rFonts w:hint="eastAsia"/>
        </w:rPr>
        <w:t>等级与内容：HCIA（初级）、HCIP（中级）、HCIE（专家级），覆盖数通（Datacom）、安全、云计算等多个技术方向。</w:t>
      </w:r>
    </w:p>
    <w:p w14:paraId="29056B8F">
      <w:pPr>
        <w:pStyle w:val="13"/>
      </w:pPr>
      <w:r>
        <w:rPr>
          <w:rFonts w:hint="eastAsia"/>
        </w:rPr>
        <w:t>考试与时间：全年均可报名，通过Pearson VUE平台预约。HCIA/HCIP为笔试；HCIE分为笔试和实验两个环节，实验考试尤为关键。</w:t>
      </w:r>
    </w:p>
    <w:p w14:paraId="1266DEBD">
      <w:pPr>
        <w:pStyle w:val="13"/>
      </w:pPr>
      <w:r>
        <w:rPr>
          <w:rFonts w:hint="eastAsia"/>
        </w:rPr>
        <w:t>费用：HCIA约200美元；HCIP单科160~300美元；HCIE实验费用约8000人民币。</w:t>
      </w:r>
    </w:p>
    <w:p w14:paraId="15F2131D">
      <w:pPr>
        <w:pStyle w:val="13"/>
      </w:pPr>
      <w:r>
        <w:rPr>
          <w:rFonts w:hint="eastAsia"/>
        </w:rPr>
        <w:t>有效期：3年。</w:t>
      </w:r>
    </w:p>
    <w:p w14:paraId="33488547">
      <w:pPr>
        <w:pStyle w:val="3"/>
      </w:pPr>
      <w:r>
        <w:t>思科认证</w:t>
      </w:r>
      <w:r>
        <w:rPr>
          <w:rFonts w:hint="eastAsia"/>
        </w:rPr>
        <w:t>（网络、通信）</w:t>
      </w:r>
    </w:p>
    <w:p w14:paraId="002DB7EF">
      <w:pPr>
        <w:pStyle w:val="13"/>
      </w:pPr>
      <w:r>
        <w:rPr>
          <w:rFonts w:hint="eastAsia"/>
        </w:rPr>
        <w:t>等级与内容：CCNA（初级）、CCNP（中级）、CCIE（专家级），覆盖路由交换、安全、数据中心等多个方向，知识体系以通用网络原理为核心。</w:t>
      </w:r>
    </w:p>
    <w:p w14:paraId="1AE00F34">
      <w:pPr>
        <w:pStyle w:val="13"/>
      </w:pPr>
      <w:r>
        <w:rPr>
          <w:rFonts w:hint="eastAsia"/>
        </w:rPr>
        <w:t>考试与时间：全年滚动预约，通过Pearson VUE平台进行。CCNA为单科考试；CCNP需考两门（核心+选修）；CCIE包含笔试和8小时的实验考试。</w:t>
      </w:r>
    </w:p>
    <w:p w14:paraId="32E62D52">
      <w:pPr>
        <w:pStyle w:val="13"/>
      </w:pPr>
      <w:r>
        <w:rPr>
          <w:rFonts w:hint="eastAsia"/>
        </w:rPr>
        <w:t>费用：具体价格因考试而异，CCIE约1,900美元起。</w:t>
      </w:r>
    </w:p>
    <w:p w14:paraId="26068E33">
      <w:pPr>
        <w:pStyle w:val="13"/>
      </w:pPr>
      <w:r>
        <w:rPr>
          <w:rFonts w:hint="eastAsia"/>
        </w:rPr>
        <w:t>有效期：3年。</w:t>
      </w:r>
    </w:p>
    <w:p w14:paraId="4EBC29A8">
      <w:pPr>
        <w:pStyle w:val="3"/>
      </w:pPr>
      <w:r>
        <w:t>红帽认证</w:t>
      </w:r>
      <w:r>
        <w:rPr>
          <w:rFonts w:hint="eastAsia"/>
        </w:rPr>
        <w:t>（Linux系统）</w:t>
      </w:r>
    </w:p>
    <w:p w14:paraId="2396F0D1">
      <w:pPr>
        <w:pStyle w:val="13"/>
      </w:pPr>
      <w:r>
        <w:rPr>
          <w:rFonts w:hint="eastAsia"/>
        </w:rPr>
        <w:t>等级与内容：RHCSA（初级）、RHCE（中级）、RHCA（专家级）。考试均为全实操上机，考核真实环境下的系统管理、配置及自动化运维能力。</w:t>
      </w:r>
    </w:p>
    <w:p w14:paraId="77FFAEBF">
      <w:pPr>
        <w:pStyle w:val="13"/>
      </w:pPr>
      <w:r>
        <w:rPr>
          <w:rFonts w:hint="eastAsia"/>
        </w:rPr>
        <w:t>考试与时间：预约制，需通过授权机构报名，全年可考。报考RHCE必须先有RHCSA证书（可同一天连考）。</w:t>
      </w:r>
    </w:p>
    <w:p w14:paraId="704BFF0E">
      <w:pPr>
        <w:pStyle w:val="13"/>
      </w:pPr>
      <w:r>
        <w:rPr>
          <w:rFonts w:hint="eastAsia"/>
        </w:rPr>
        <w:t>费用：RHCE费用在4200~4500元之间。</w:t>
      </w:r>
    </w:p>
    <w:p w14:paraId="30FC8576">
      <w:pPr>
        <w:pStyle w:val="13"/>
      </w:pPr>
      <w:r>
        <w:rPr>
          <w:rFonts w:hint="eastAsia"/>
        </w:rPr>
        <w:t>有效期：3年。</w:t>
      </w:r>
    </w:p>
    <w:p w14:paraId="1B79C486">
      <w:pPr>
        <w:pStyle w:val="3"/>
      </w:pPr>
      <w:r>
        <w:t>Oracle认证</w:t>
      </w:r>
      <w:r>
        <w:rPr>
          <w:rFonts w:hint="eastAsia"/>
        </w:rPr>
        <w:t>（数据库）</w:t>
      </w:r>
    </w:p>
    <w:p w14:paraId="2975170E">
      <w:pPr>
        <w:pStyle w:val="13"/>
      </w:pPr>
      <w:r>
        <w:rPr>
          <w:rFonts w:hint="eastAsia"/>
        </w:rPr>
        <w:t>等级与内容：OCP（中级）、OCM（专家级），覆盖数据库管理和开发等方向，OCP需通过专业考试并完成原厂培训。</w:t>
      </w:r>
    </w:p>
    <w:p w14:paraId="4F6E8F07">
      <w:pPr>
        <w:pStyle w:val="13"/>
      </w:pPr>
      <w:r>
        <w:rPr>
          <w:rFonts w:hint="eastAsia"/>
        </w:rPr>
        <w:t>考试与时间：通过Pearson VUE中心实施，OCP集中报考时间通常在3月、6月、9月、12月。</w:t>
      </w:r>
    </w:p>
    <w:p w14:paraId="2ED848D3">
      <w:pPr>
        <w:pStyle w:val="13"/>
      </w:pPr>
      <w:r>
        <w:rPr>
          <w:rFonts w:hint="eastAsia"/>
        </w:rPr>
        <w:t>费用：OCP培训加考试总费用通常不低于15000元。</w:t>
      </w:r>
    </w:p>
    <w:p w14:paraId="40019F9A">
      <w:pPr>
        <w:pStyle w:val="13"/>
      </w:pPr>
      <w:r>
        <w:rPr>
          <w:rFonts w:hint="eastAsia"/>
        </w:rPr>
        <w:t>有效期：OCP及更高级别认证有效期通常为3年。</w:t>
      </w:r>
    </w:p>
    <w:p w14:paraId="5DA2B62B">
      <w:pPr>
        <w:pStyle w:val="3"/>
      </w:pPr>
      <w:r>
        <w:rPr>
          <w:rFonts w:hint="eastAsia"/>
        </w:rPr>
        <w:t>大学英语四、六级考试 (CET-4/6)</w:t>
      </w:r>
    </w:p>
    <w:p w14:paraId="415E17A1">
      <w:pPr>
        <w:pStyle w:val="13"/>
      </w:pPr>
      <w:r>
        <w:rPr>
          <w:rFonts w:hint="eastAsia"/>
        </w:rPr>
        <w:t>考试内容：笔试包含写作、听力理解、阅读理解、翻译（CET-4：汉译英；CET-6：段落翻译）四大板块；口语考试（CET-SET）为机考形式，单独报名、单独评级。</w:t>
      </w:r>
    </w:p>
    <w:p w14:paraId="66A7B2E3">
      <w:pPr>
        <w:pStyle w:val="13"/>
      </w:pPr>
      <w:r>
        <w:rPr>
          <w:rFonts w:hint="eastAsia"/>
        </w:rPr>
        <w:t>考试与时间：笔试每年6月、12月各一次；口语考试（CET-SET）通常安排在笔试前一个月（5月、11月）左右。报名时间通常在3月和9月，由各高校教务处统一组织。</w:t>
      </w:r>
    </w:p>
    <w:p w14:paraId="61E899A4">
      <w:pPr>
        <w:pStyle w:val="3"/>
      </w:pPr>
      <w:r>
        <w:rPr>
          <w:rFonts w:hint="eastAsia"/>
        </w:rPr>
        <w:t>中小学教师资格证</w:t>
      </w:r>
    </w:p>
    <w:p w14:paraId="49E80175">
      <w:pPr>
        <w:pStyle w:val="13"/>
      </w:pPr>
      <w:r>
        <w:rPr>
          <w:rFonts w:hint="eastAsia"/>
        </w:rPr>
        <w:t>考试内容：分为笔试和面试两部分。</w:t>
      </w:r>
    </w:p>
    <w:p w14:paraId="09C89FC9">
      <w:pPr>
        <w:pStyle w:val="13"/>
      </w:pPr>
      <w:r>
        <w:rPr>
          <w:rFonts w:hint="eastAsia"/>
        </w:rPr>
        <w:t>笔试：</w:t>
      </w:r>
    </w:p>
    <w:p w14:paraId="43E7021B">
      <w:pPr>
        <w:pStyle w:val="13"/>
      </w:pPr>
      <w:r>
        <w:rPr>
          <w:rFonts w:hint="eastAsia"/>
        </w:rPr>
        <w:t>幼儿园/小学：考两门，分别是《综合素质》和《教育教学知识与能力》（幼教为《保教知识与能力》）。</w:t>
      </w:r>
    </w:p>
    <w:p w14:paraId="4FD915AE">
      <w:pPr>
        <w:pStyle w:val="13"/>
      </w:pPr>
      <w:r>
        <w:rPr>
          <w:rFonts w:hint="eastAsia"/>
        </w:rPr>
        <w:t>中学（含中职文化课）：考三门，分别是《综合素质》、《教育知识与能力》和《学科知识与教学能力》。</w:t>
      </w:r>
    </w:p>
    <w:p w14:paraId="6047DAE9">
      <w:pPr>
        <w:pStyle w:val="13"/>
      </w:pPr>
      <w:r>
        <w:rPr>
          <w:rFonts w:hint="eastAsia"/>
        </w:rPr>
        <w:t>面试：考核备课、结构化问答、试讲和答辩等环节。</w:t>
      </w:r>
    </w:p>
    <w:p w14:paraId="5F54E90B">
      <w:pPr>
        <w:pStyle w:val="13"/>
      </w:pPr>
      <w:r>
        <w:rPr>
          <w:rFonts w:hint="eastAsia"/>
        </w:rPr>
        <w:t>普通话要求：在申请认证时，通常需要达到二级乙等及以上水平，语文学科需要二级甲等及以上。</w:t>
      </w:r>
    </w:p>
    <w:p w14:paraId="76FAF769">
      <w:pPr>
        <w:pStyle w:val="13"/>
      </w:pPr>
      <w:r>
        <w:rPr>
          <w:rFonts w:hint="eastAsia"/>
        </w:rPr>
        <w:t>考试与时间：全国统考，通常每年3月和10月举行笔试，5月和次年1月举行面试。</w:t>
      </w:r>
    </w:p>
    <w:p w14:paraId="10FEA104">
      <w:pPr>
        <w:pStyle w:val="3"/>
      </w:pPr>
      <w:r>
        <w:rPr>
          <w:rFonts w:hint="eastAsia"/>
        </w:rPr>
        <w:t>普通话水平测试</w:t>
      </w:r>
    </w:p>
    <w:p w14:paraId="5D35F433">
      <w:pPr>
        <w:pStyle w:val="13"/>
      </w:pPr>
      <w:r>
        <w:rPr>
          <w:rFonts w:hint="eastAsia"/>
        </w:rPr>
        <w:t>考试内容：采用口试“机考”形式，对考生的单音节字词、多音节词语、朗读短文和命题说话四个方面进行评分。</w:t>
      </w:r>
    </w:p>
    <w:p w14:paraId="0E2B7187">
      <w:pPr>
        <w:pStyle w:val="13"/>
      </w:pPr>
      <w:r>
        <w:rPr>
          <w:rFonts w:hint="eastAsia"/>
        </w:rPr>
        <w:t>等级标准：分为三级六等，从高到低依次为：一级甲等、一级乙等、二级甲等、二级乙等、三级甲等、三级乙等。</w:t>
      </w:r>
    </w:p>
    <w:p w14:paraId="5D8ED0FC">
      <w:pPr>
        <w:pStyle w:val="13"/>
      </w:pPr>
      <w:r>
        <w:rPr>
          <w:rFonts w:hint="eastAsia"/>
        </w:rPr>
        <w:t>考试与时间：各地语言文字水平测试中心（语委）会全年组织多场考试。</w:t>
      </w:r>
    </w:p>
    <w:p w14:paraId="14DFBC3E">
      <w:pPr>
        <w:pStyle w:val="13"/>
      </w:pPr>
      <w:r>
        <w:rPr>
          <w:rFonts w:hint="eastAsia"/>
        </w:rPr>
        <w:t>报名与费用：线上报名一般在考前1-2个月开放，学生报名费约为25元。</w:t>
      </w:r>
    </w:p>
    <w:p w14:paraId="0D231D6E">
      <w:pPr>
        <w:pStyle w:val="13"/>
      </w:pPr>
      <w:r>
        <w:rPr>
          <w:rFonts w:hint="eastAsia"/>
        </w:rPr>
        <w:t>所有在校大学生，特别是为考取教师资格证做准备的同学。</w:t>
      </w:r>
    </w:p>
    <w:p w14:paraId="0CA8C95D">
      <w:pPr>
        <w:pStyle w:val="3"/>
      </w:pPr>
      <w:r>
        <w:rPr>
          <w:rFonts w:hint="eastAsia"/>
        </w:rPr>
        <w:t>托福 (TOEFL) / 雅思 (IELTS)</w:t>
      </w:r>
    </w:p>
    <w:p w14:paraId="6A937303">
      <w:pPr>
        <w:pStyle w:val="13"/>
      </w:pPr>
      <w:r>
        <w:rPr>
          <w:rFonts w:hint="eastAsia"/>
        </w:rPr>
        <w:t>考试内容与费用：</w:t>
      </w:r>
    </w:p>
    <w:p w14:paraId="418E8563">
      <w:pPr>
        <w:pStyle w:val="13"/>
      </w:pPr>
      <w:r>
        <w:rPr>
          <w:rFonts w:hint="eastAsia"/>
        </w:rPr>
        <w:t>托福：综合考察听说读写能力，考试费约为2100-2250元人民币，部分考场可能更高。成绩有效期为2年。</w:t>
      </w:r>
    </w:p>
    <w:p w14:paraId="7DE99DE2">
      <w:pPr>
        <w:pStyle w:val="13"/>
      </w:pPr>
      <w:r>
        <w:rPr>
          <w:rFonts w:hint="eastAsia"/>
        </w:rPr>
        <w:t>雅思：同样考察听说读写，普通学术类雅思考试费用约为2170元人民币。同样成绩有效期为2年。</w:t>
      </w:r>
    </w:p>
    <w:p w14:paraId="1183DDE3">
      <w:pPr>
        <w:pStyle w:val="13"/>
      </w:pPr>
      <w:r>
        <w:rPr>
          <w:rFonts w:hint="eastAsia"/>
        </w:rPr>
        <w:t>考试与时间：</w:t>
      </w:r>
    </w:p>
    <w:p w14:paraId="0AE40823">
      <w:pPr>
        <w:pStyle w:val="13"/>
      </w:pPr>
      <w:r>
        <w:rPr>
          <w:rFonts w:hint="eastAsia"/>
        </w:rPr>
        <w:t>托福：线下考点会安排固定日期，理论上每周都有考试。</w:t>
      </w:r>
    </w:p>
    <w:p w14:paraId="7AC1EC99">
      <w:pPr>
        <w:pStyle w:val="13"/>
      </w:pPr>
      <w:r>
        <w:rPr>
          <w:rFonts w:hint="eastAsia"/>
        </w:rPr>
        <w:t>雅思：每月会安排4-5次考试，方便考生灵活选择。</w:t>
      </w:r>
    </w:p>
    <w:p w14:paraId="2DDADE8E">
      <w:pPr>
        <w:pStyle w:val="3"/>
      </w:pPr>
      <w:r>
        <w:rPr>
          <w:rFonts w:hint="eastAsia"/>
        </w:rPr>
        <w:t>第二外语证书</w:t>
      </w:r>
    </w:p>
    <w:p w14:paraId="3F6C9AAD">
      <w:pPr>
        <w:pStyle w:val="13"/>
      </w:pPr>
      <w:r>
        <w:rPr>
          <w:rFonts w:hint="eastAsia"/>
        </w:rPr>
        <w:t>常见语种及考试：日语JLPT（7月、12月）、韩语TOPIK（1月、4月、5月、7月、10月、11月）、德语TestDaF（全年多次）、法语DELF/DALF等。</w:t>
      </w:r>
    </w:p>
    <w:p w14:paraId="196CEB8D">
      <w:pPr>
        <w:pStyle w:val="13"/>
      </w:pPr>
      <w:r>
        <w:rPr>
          <w:rFonts w:hint="eastAsia"/>
        </w:rPr>
        <w:t>报名方式：通过各语种的官方考试网站在线报名。</w:t>
      </w:r>
    </w:p>
    <w:p w14:paraId="68885B59">
      <w:pPr>
        <w:pStyle w:val="3"/>
      </w:pPr>
      <w:r>
        <w:rPr>
          <w:rFonts w:hint="eastAsia"/>
        </w:rPr>
        <w:t>翻译专业资格（水平）考试 (CATTI)</w:t>
      </w:r>
    </w:p>
    <w:p w14:paraId="7B317E6D">
      <w:pPr>
        <w:pStyle w:val="13"/>
      </w:pPr>
      <w:r>
        <w:rPr>
          <w:rFonts w:hint="eastAsia"/>
        </w:rPr>
        <w:t>考试内容：覆盖英语、日语、德语、法语等9个语种的笔译和口译。笔译考综合能力和实务，口译考综合能力、实务和口译。分为一、二、三级。</w:t>
      </w:r>
    </w:p>
    <w:p w14:paraId="16504DD7">
      <w:pPr>
        <w:pStyle w:val="13"/>
      </w:pPr>
      <w:r>
        <w:rPr>
          <w:rFonts w:hint="eastAsia"/>
        </w:rPr>
        <w:t>考试与时间：全国统一机考，2025年的考试安排在6月21-22日。</w:t>
      </w:r>
    </w:p>
    <w:sectPr>
      <w:footerReference r:id="rId5" w:type="default"/>
      <w:pgSz w:w="11906" w:h="16838"/>
      <w:pgMar w:top="2098" w:right="1474" w:bottom="1985" w:left="1588" w:header="851" w:footer="68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6158361"/>
      <w:docPartObj>
        <w:docPartGallery w:val="AutoText"/>
      </w:docPartObj>
    </w:sdtPr>
    <w:sdtContent>
      <w:p w14:paraId="3C81EF22">
        <w:pPr>
          <w:pStyle w:val="15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FBFC869">
    <w:pPr>
      <w:pStyle w:val="15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63030C"/>
    <w:multiLevelType w:val="multilevel"/>
    <w:tmpl w:val="1663030C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425" w:hanging="425"/>
      </w:pPr>
      <w:rPr>
        <w:rFonts w:hint="eastAsia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992" w:hanging="992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1418" w:hanging="1018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attachedTemplate r:id="rId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14"/>
    <w:rsid w:val="00024AB8"/>
    <w:rsid w:val="00055362"/>
    <w:rsid w:val="00057BAE"/>
    <w:rsid w:val="00092E82"/>
    <w:rsid w:val="00095102"/>
    <w:rsid w:val="00096498"/>
    <w:rsid w:val="000D59C4"/>
    <w:rsid w:val="0010502E"/>
    <w:rsid w:val="00106B67"/>
    <w:rsid w:val="00114233"/>
    <w:rsid w:val="00117F0F"/>
    <w:rsid w:val="00127157"/>
    <w:rsid w:val="001805AE"/>
    <w:rsid w:val="0019635B"/>
    <w:rsid w:val="001A60BD"/>
    <w:rsid w:val="001B2ECB"/>
    <w:rsid w:val="001C4197"/>
    <w:rsid w:val="001C5D8F"/>
    <w:rsid w:val="001D75BE"/>
    <w:rsid w:val="00231D83"/>
    <w:rsid w:val="0027710C"/>
    <w:rsid w:val="002B0D5D"/>
    <w:rsid w:val="002B5748"/>
    <w:rsid w:val="002D056D"/>
    <w:rsid w:val="002E15D3"/>
    <w:rsid w:val="00312CE9"/>
    <w:rsid w:val="00315454"/>
    <w:rsid w:val="00374310"/>
    <w:rsid w:val="00394A63"/>
    <w:rsid w:val="003A5EE7"/>
    <w:rsid w:val="003B0037"/>
    <w:rsid w:val="003D095B"/>
    <w:rsid w:val="00443703"/>
    <w:rsid w:val="00477BCF"/>
    <w:rsid w:val="004B3FAA"/>
    <w:rsid w:val="004B6AA3"/>
    <w:rsid w:val="004D18E9"/>
    <w:rsid w:val="00501CC2"/>
    <w:rsid w:val="00566C08"/>
    <w:rsid w:val="00581426"/>
    <w:rsid w:val="00586C14"/>
    <w:rsid w:val="005D4D0E"/>
    <w:rsid w:val="005E1987"/>
    <w:rsid w:val="00603BBB"/>
    <w:rsid w:val="00652E86"/>
    <w:rsid w:val="006828FE"/>
    <w:rsid w:val="006B14B9"/>
    <w:rsid w:val="006B7744"/>
    <w:rsid w:val="006D62EA"/>
    <w:rsid w:val="006E11AE"/>
    <w:rsid w:val="006E443E"/>
    <w:rsid w:val="006F1319"/>
    <w:rsid w:val="00714C32"/>
    <w:rsid w:val="00717EBF"/>
    <w:rsid w:val="0072367D"/>
    <w:rsid w:val="00784071"/>
    <w:rsid w:val="007913C0"/>
    <w:rsid w:val="00792CF1"/>
    <w:rsid w:val="007A708D"/>
    <w:rsid w:val="007B5CFC"/>
    <w:rsid w:val="007E4C2E"/>
    <w:rsid w:val="007E7605"/>
    <w:rsid w:val="008021CE"/>
    <w:rsid w:val="00832967"/>
    <w:rsid w:val="00840910"/>
    <w:rsid w:val="00851BDC"/>
    <w:rsid w:val="008C2685"/>
    <w:rsid w:val="008D41E9"/>
    <w:rsid w:val="00907CAD"/>
    <w:rsid w:val="009268A0"/>
    <w:rsid w:val="00927188"/>
    <w:rsid w:val="00930584"/>
    <w:rsid w:val="00945ECE"/>
    <w:rsid w:val="00951CC6"/>
    <w:rsid w:val="009565AD"/>
    <w:rsid w:val="0097357C"/>
    <w:rsid w:val="009B1AB5"/>
    <w:rsid w:val="009B4884"/>
    <w:rsid w:val="009B712D"/>
    <w:rsid w:val="009F2913"/>
    <w:rsid w:val="00A03C5C"/>
    <w:rsid w:val="00A07A2A"/>
    <w:rsid w:val="00A323B4"/>
    <w:rsid w:val="00A34AD2"/>
    <w:rsid w:val="00A45CCD"/>
    <w:rsid w:val="00A90359"/>
    <w:rsid w:val="00A93600"/>
    <w:rsid w:val="00AA2878"/>
    <w:rsid w:val="00AB37FD"/>
    <w:rsid w:val="00AF3BCB"/>
    <w:rsid w:val="00B132C0"/>
    <w:rsid w:val="00B4155D"/>
    <w:rsid w:val="00B92856"/>
    <w:rsid w:val="00BA4616"/>
    <w:rsid w:val="00BC4418"/>
    <w:rsid w:val="00BD2257"/>
    <w:rsid w:val="00BE1F45"/>
    <w:rsid w:val="00C058B2"/>
    <w:rsid w:val="00C574DE"/>
    <w:rsid w:val="00C576E7"/>
    <w:rsid w:val="00C714B7"/>
    <w:rsid w:val="00C81BA1"/>
    <w:rsid w:val="00C836A2"/>
    <w:rsid w:val="00C93E32"/>
    <w:rsid w:val="00CB0E06"/>
    <w:rsid w:val="00CC2822"/>
    <w:rsid w:val="00CF2E5F"/>
    <w:rsid w:val="00D01BE0"/>
    <w:rsid w:val="00D05C05"/>
    <w:rsid w:val="00D42BC0"/>
    <w:rsid w:val="00D5094F"/>
    <w:rsid w:val="00D577CA"/>
    <w:rsid w:val="00D6567F"/>
    <w:rsid w:val="00DA5028"/>
    <w:rsid w:val="00DD12AF"/>
    <w:rsid w:val="00DE6244"/>
    <w:rsid w:val="00DF5153"/>
    <w:rsid w:val="00DF6736"/>
    <w:rsid w:val="00DF7487"/>
    <w:rsid w:val="00E039C6"/>
    <w:rsid w:val="00E24A1A"/>
    <w:rsid w:val="00E317D6"/>
    <w:rsid w:val="00E5443B"/>
    <w:rsid w:val="00E6361D"/>
    <w:rsid w:val="00E750A4"/>
    <w:rsid w:val="00E849B3"/>
    <w:rsid w:val="00EA22EC"/>
    <w:rsid w:val="00EF2C94"/>
    <w:rsid w:val="00EF6C36"/>
    <w:rsid w:val="00F042D0"/>
    <w:rsid w:val="00F044ED"/>
    <w:rsid w:val="00F3140F"/>
    <w:rsid w:val="00F45324"/>
    <w:rsid w:val="00F77701"/>
    <w:rsid w:val="00F83EC1"/>
    <w:rsid w:val="00FA0A53"/>
    <w:rsid w:val="00FB73EF"/>
    <w:rsid w:val="00FD429B"/>
    <w:rsid w:val="00FF2A26"/>
    <w:rsid w:val="1E4E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34" w:semiHidden="0" w:name="List Paragraph"/>
    <w:lsdException w:unhideWhenUsed="0" w:uiPriority="29" w:semiHidden="0" w:name="Quote"/>
    <w:lsdException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120" w:line="264" w:lineRule="auto"/>
    </w:pPr>
    <w:rPr>
      <w:rFonts w:asciiTheme="minorHAnsi" w:hAnsiTheme="minorHAnsi" w:eastAsiaTheme="minorEastAsia" w:cstheme="minorBidi"/>
      <w:kern w:val="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8"/>
    <w:qFormat/>
    <w:uiPriority w:val="9"/>
    <w:pPr>
      <w:numPr>
        <w:ilvl w:val="0"/>
        <w:numId w:val="1"/>
      </w:numPr>
      <w:adjustRightInd w:val="0"/>
      <w:snapToGrid w:val="0"/>
      <w:spacing w:after="0" w:line="560" w:lineRule="exact"/>
      <w:outlineLvl w:val="0"/>
    </w:pPr>
    <w:rPr>
      <w:rFonts w:ascii="Times New Roman" w:hAnsi="Times New Roman" w:eastAsia="黑体"/>
      <w:sz w:val="32"/>
      <w:szCs w:val="21"/>
    </w:rPr>
  </w:style>
  <w:style w:type="paragraph" w:styleId="3">
    <w:name w:val="heading 2"/>
    <w:basedOn w:val="2"/>
    <w:next w:val="1"/>
    <w:link w:val="29"/>
    <w:unhideWhenUsed/>
    <w:qFormat/>
    <w:uiPriority w:val="9"/>
    <w:pPr>
      <w:numPr>
        <w:ilvl w:val="1"/>
      </w:numPr>
      <w:outlineLvl w:val="1"/>
    </w:pPr>
    <w:rPr>
      <w:rFonts w:eastAsia="楷体_GB2312"/>
      <w:b/>
      <w:bCs/>
    </w:rPr>
  </w:style>
  <w:style w:type="paragraph" w:styleId="4">
    <w:name w:val="heading 3"/>
    <w:basedOn w:val="3"/>
    <w:next w:val="1"/>
    <w:link w:val="30"/>
    <w:unhideWhenUsed/>
    <w:qFormat/>
    <w:uiPriority w:val="9"/>
    <w:pPr>
      <w:numPr>
        <w:ilvl w:val="2"/>
      </w:numPr>
      <w:ind w:left="0" w:firstLine="640" w:firstLineChars="200"/>
      <w:outlineLvl w:val="2"/>
    </w:pPr>
    <w:rPr>
      <w:rFonts w:ascii="仿宋_GB2312" w:eastAsia="仿宋_GB2312"/>
      <w:b w:val="0"/>
      <w:bCs w:val="0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6">
    <w:name w:val="heading 5"/>
    <w:basedOn w:val="1"/>
    <w:next w:val="1"/>
    <w:link w:val="32"/>
    <w:semiHidden/>
    <w:unhideWhenUsed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44546A" w:themeColor="text2"/>
      <w:sz w:val="22"/>
      <w:szCs w:val="22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3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44546A" w:themeColor="text2"/>
      <w:sz w:val="21"/>
      <w:szCs w:val="21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3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03864" w:themeColor="accent1" w:themeShade="80"/>
      <w:sz w:val="21"/>
      <w:szCs w:val="21"/>
    </w:rPr>
  </w:style>
  <w:style w:type="paragraph" w:styleId="9">
    <w:name w:val="heading 8"/>
    <w:basedOn w:val="1"/>
    <w:next w:val="1"/>
    <w:link w:val="35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44546A" w:themeColor="text2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36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44546A" w:themeColor="text2"/>
      <w14:textFill>
        <w14:solidFill>
          <w14:schemeClr w14:val="tx2"/>
        </w14:solidFill>
      </w14:textFill>
    </w:rPr>
  </w:style>
  <w:style w:type="character" w:default="1" w:styleId="22">
    <w:name w:val="Default Paragraph Font"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2"/>
    <w:next w:val="1"/>
    <w:unhideWhenUsed/>
    <w:qFormat/>
    <w:uiPriority w:val="35"/>
    <w:pPr>
      <w:spacing w:line="560" w:lineRule="exact"/>
    </w:pPr>
    <w:rPr>
      <w:sz w:val="32"/>
      <w:szCs w:val="21"/>
    </w:rPr>
  </w:style>
  <w:style w:type="paragraph" w:customStyle="1" w:styleId="12">
    <w:name w:val="图片"/>
    <w:basedOn w:val="13"/>
    <w:link w:val="63"/>
    <w:qFormat/>
    <w:uiPriority w:val="0"/>
    <w:pPr>
      <w:spacing w:line="240" w:lineRule="auto"/>
      <w:ind w:firstLine="0" w:firstLineChars="0"/>
      <w:jc w:val="center"/>
    </w:pPr>
    <w:rPr>
      <w:sz w:val="28"/>
      <w:szCs w:val="20"/>
    </w:rPr>
  </w:style>
  <w:style w:type="paragraph" w:customStyle="1" w:styleId="13">
    <w:name w:val="正文（缩进）"/>
    <w:basedOn w:val="1"/>
    <w:link w:val="51"/>
    <w:qFormat/>
    <w:uiPriority w:val="0"/>
    <w:pPr>
      <w:widowControl w:val="0"/>
      <w:adjustRightInd w:val="0"/>
      <w:snapToGrid w:val="0"/>
      <w:spacing w:after="0" w:line="560" w:lineRule="exact"/>
      <w:ind w:firstLine="640" w:firstLineChars="200"/>
      <w:jc w:val="both"/>
    </w:pPr>
    <w:rPr>
      <w:rFonts w:ascii="Times New Roman" w:hAnsi="Times New Roman" w:eastAsia="仿宋_GB2312"/>
      <w:sz w:val="32"/>
      <w:szCs w:val="21"/>
    </w:rPr>
  </w:style>
  <w:style w:type="paragraph" w:styleId="14">
    <w:name w:val="annotation text"/>
    <w:basedOn w:val="1"/>
    <w:link w:val="65"/>
    <w:semiHidden/>
    <w:unhideWhenUsed/>
    <w:uiPriority w:val="99"/>
  </w:style>
  <w:style w:type="paragraph" w:styleId="15">
    <w:name w:val="footer"/>
    <w:basedOn w:val="1"/>
    <w:link w:val="53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6">
    <w:name w:val="header"/>
    <w:basedOn w:val="1"/>
    <w:link w:val="52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7">
    <w:name w:val="Subtitle"/>
    <w:basedOn w:val="13"/>
    <w:next w:val="1"/>
    <w:link w:val="38"/>
    <w:qFormat/>
    <w:uiPriority w:val="11"/>
    <w:pPr>
      <w:ind w:firstLine="0" w:firstLineChars="0"/>
      <w:jc w:val="center"/>
    </w:pPr>
    <w:rPr>
      <w:rFonts w:eastAsia="方正小标宋简体"/>
    </w:rPr>
  </w:style>
  <w:style w:type="paragraph" w:styleId="18">
    <w:name w:val="Title"/>
    <w:basedOn w:val="1"/>
    <w:next w:val="1"/>
    <w:link w:val="37"/>
    <w:qFormat/>
    <w:uiPriority w:val="10"/>
    <w:pPr>
      <w:adjustRightInd w:val="0"/>
      <w:snapToGrid w:val="0"/>
      <w:spacing w:after="0" w:line="720" w:lineRule="exact"/>
      <w:jc w:val="center"/>
    </w:pPr>
    <w:rPr>
      <w:rFonts w:ascii="Times New Roman" w:hAnsi="Times New Roman" w:eastAsia="方正小标宋简体"/>
      <w:sz w:val="44"/>
      <w:szCs w:val="28"/>
    </w:rPr>
  </w:style>
  <w:style w:type="paragraph" w:styleId="19">
    <w:name w:val="annotation subject"/>
    <w:basedOn w:val="14"/>
    <w:next w:val="14"/>
    <w:link w:val="66"/>
    <w:semiHidden/>
    <w:unhideWhenUsed/>
    <w:uiPriority w:val="99"/>
    <w:rPr>
      <w:b/>
      <w:bCs/>
    </w:rPr>
  </w:style>
  <w:style w:type="table" w:styleId="21">
    <w:name w:val="Table Grid"/>
    <w:basedOn w:val="20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semiHidden/>
    <w:unhideWhenUsed/>
    <w:uiPriority w:val="99"/>
    <w:rPr>
      <w:color w:val="954F72"/>
      <w:u w:val="single"/>
    </w:rPr>
  </w:style>
  <w:style w:type="character" w:styleId="25">
    <w:name w:val="Emphasis"/>
    <w:basedOn w:val="22"/>
    <w:uiPriority w:val="20"/>
    <w:rPr>
      <w:i/>
      <w:iCs/>
    </w:rPr>
  </w:style>
  <w:style w:type="character" w:styleId="26">
    <w:name w:val="Hyperlink"/>
    <w:basedOn w:val="22"/>
    <w:unhideWhenUsed/>
    <w:uiPriority w:val="99"/>
    <w:rPr>
      <w:color w:val="0563C1"/>
      <w:u w:val="single"/>
    </w:rPr>
  </w:style>
  <w:style w:type="character" w:styleId="27">
    <w:name w:val="annotation reference"/>
    <w:basedOn w:val="22"/>
    <w:semiHidden/>
    <w:unhideWhenUsed/>
    <w:uiPriority w:val="99"/>
    <w:rPr>
      <w:sz w:val="21"/>
      <w:szCs w:val="21"/>
    </w:rPr>
  </w:style>
  <w:style w:type="character" w:customStyle="1" w:styleId="28">
    <w:name w:val="标题 1 字符"/>
    <w:basedOn w:val="22"/>
    <w:link w:val="2"/>
    <w:uiPriority w:val="9"/>
    <w:rPr>
      <w:rFonts w:ascii="Times New Roman" w:hAnsi="Times New Roman" w:eastAsia="黑体"/>
      <w:sz w:val="32"/>
      <w:szCs w:val="21"/>
    </w:rPr>
  </w:style>
  <w:style w:type="character" w:customStyle="1" w:styleId="29">
    <w:name w:val="标题 2 字符"/>
    <w:basedOn w:val="22"/>
    <w:link w:val="3"/>
    <w:uiPriority w:val="9"/>
    <w:rPr>
      <w:rFonts w:ascii="Times New Roman" w:hAnsi="Times New Roman" w:eastAsia="楷体_GB2312"/>
      <w:b/>
      <w:bCs/>
      <w:sz w:val="32"/>
      <w:szCs w:val="21"/>
    </w:rPr>
  </w:style>
  <w:style w:type="character" w:customStyle="1" w:styleId="30">
    <w:name w:val="标题 3 字符"/>
    <w:basedOn w:val="22"/>
    <w:link w:val="4"/>
    <w:uiPriority w:val="9"/>
    <w:rPr>
      <w:rFonts w:ascii="仿宋_GB2312" w:hAnsi="Times New Roman" w:eastAsia="仿宋_GB2312"/>
      <w:sz w:val="32"/>
      <w:szCs w:val="21"/>
    </w:rPr>
  </w:style>
  <w:style w:type="character" w:customStyle="1" w:styleId="31">
    <w:name w:val="标题 4 字符"/>
    <w:basedOn w:val="22"/>
    <w:link w:val="5"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32">
    <w:name w:val="标题 5 字符"/>
    <w:basedOn w:val="22"/>
    <w:link w:val="6"/>
    <w:semiHidden/>
    <w:uiPriority w:val="9"/>
    <w:rPr>
      <w:rFonts w:asciiTheme="majorHAnsi" w:hAnsiTheme="majorHAnsi" w:eastAsiaTheme="majorEastAsia" w:cstheme="majorBidi"/>
      <w:color w:val="44546A" w:themeColor="text2"/>
      <w:sz w:val="22"/>
      <w:szCs w:val="22"/>
      <w14:textFill>
        <w14:solidFill>
          <w14:schemeClr w14:val="tx2"/>
        </w14:solidFill>
      </w14:textFill>
    </w:rPr>
  </w:style>
  <w:style w:type="character" w:customStyle="1" w:styleId="33">
    <w:name w:val="标题 6 字符"/>
    <w:basedOn w:val="22"/>
    <w:link w:val="7"/>
    <w:semiHidden/>
    <w:uiPriority w:val="9"/>
    <w:rPr>
      <w:rFonts w:asciiTheme="majorHAnsi" w:hAnsiTheme="majorHAnsi" w:eastAsiaTheme="majorEastAsia" w:cstheme="majorBidi"/>
      <w:i/>
      <w:iCs/>
      <w:color w:val="44546A" w:themeColor="text2"/>
      <w:sz w:val="21"/>
      <w:szCs w:val="21"/>
      <w14:textFill>
        <w14:solidFill>
          <w14:schemeClr w14:val="tx2"/>
        </w14:solidFill>
      </w14:textFill>
    </w:rPr>
  </w:style>
  <w:style w:type="character" w:customStyle="1" w:styleId="34">
    <w:name w:val="标题 7 字符"/>
    <w:basedOn w:val="22"/>
    <w:link w:val="8"/>
    <w:semiHidden/>
    <w:uiPriority w:val="9"/>
    <w:rPr>
      <w:rFonts w:asciiTheme="majorHAnsi" w:hAnsiTheme="majorHAnsi" w:eastAsiaTheme="majorEastAsia" w:cstheme="majorBidi"/>
      <w:i/>
      <w:iCs/>
      <w:color w:val="203864" w:themeColor="accent1" w:themeShade="80"/>
      <w:sz w:val="21"/>
      <w:szCs w:val="21"/>
    </w:rPr>
  </w:style>
  <w:style w:type="character" w:customStyle="1" w:styleId="35">
    <w:name w:val="标题 8 字符"/>
    <w:basedOn w:val="22"/>
    <w:link w:val="9"/>
    <w:semiHidden/>
    <w:uiPriority w:val="9"/>
    <w:rPr>
      <w:rFonts w:asciiTheme="majorHAnsi" w:hAnsiTheme="majorHAnsi" w:eastAsiaTheme="majorEastAsia" w:cstheme="majorBidi"/>
      <w:b/>
      <w:bCs/>
      <w:color w:val="44546A" w:themeColor="text2"/>
      <w14:textFill>
        <w14:solidFill>
          <w14:schemeClr w14:val="tx2"/>
        </w14:solidFill>
      </w14:textFill>
    </w:rPr>
  </w:style>
  <w:style w:type="character" w:customStyle="1" w:styleId="36">
    <w:name w:val="标题 9 字符"/>
    <w:basedOn w:val="22"/>
    <w:link w:val="10"/>
    <w:semiHidden/>
    <w:uiPriority w:val="9"/>
    <w:rPr>
      <w:rFonts w:asciiTheme="majorHAnsi" w:hAnsiTheme="majorHAnsi" w:eastAsiaTheme="majorEastAsia" w:cstheme="majorBidi"/>
      <w:b/>
      <w:bCs/>
      <w:i/>
      <w:iCs/>
      <w:color w:val="44546A" w:themeColor="text2"/>
      <w14:textFill>
        <w14:solidFill>
          <w14:schemeClr w14:val="tx2"/>
        </w14:solidFill>
      </w14:textFill>
    </w:rPr>
  </w:style>
  <w:style w:type="character" w:customStyle="1" w:styleId="37">
    <w:name w:val="标题 字符"/>
    <w:basedOn w:val="22"/>
    <w:link w:val="18"/>
    <w:uiPriority w:val="10"/>
    <w:rPr>
      <w:rFonts w:ascii="Times New Roman" w:hAnsi="Times New Roman" w:eastAsia="方正小标宋简体"/>
      <w:sz w:val="44"/>
      <w:szCs w:val="28"/>
    </w:rPr>
  </w:style>
  <w:style w:type="character" w:customStyle="1" w:styleId="38">
    <w:name w:val="副标题 字符"/>
    <w:basedOn w:val="22"/>
    <w:link w:val="17"/>
    <w:uiPriority w:val="11"/>
    <w:rPr>
      <w:rFonts w:ascii="Times New Roman" w:hAnsi="Times New Roman" w:eastAsia="方正小标宋简体"/>
      <w:sz w:val="32"/>
      <w:szCs w:val="21"/>
    </w:rPr>
  </w:style>
  <w:style w:type="paragraph" w:styleId="39">
    <w:name w:val="No Spacing"/>
    <w:uiPriority w:val="1"/>
    <w:pPr>
      <w:spacing w:after="0" w:line="240" w:lineRule="auto"/>
    </w:pPr>
    <w:rPr>
      <w:rFonts w:asciiTheme="minorHAnsi" w:hAnsiTheme="minorHAnsi" w:eastAsiaTheme="minorEastAsia" w:cstheme="minorBidi"/>
      <w:kern w:val="2"/>
      <w:lang w:val="en-US" w:eastAsia="zh-CN" w:bidi="ar-SA"/>
      <w14:ligatures w14:val="standardContextual"/>
    </w:rPr>
  </w:style>
  <w:style w:type="paragraph" w:styleId="40">
    <w:name w:val="List Paragraph"/>
    <w:basedOn w:val="1"/>
    <w:uiPriority w:val="34"/>
    <w:pPr>
      <w:ind w:firstLine="420" w:firstLineChars="200"/>
    </w:pPr>
  </w:style>
  <w:style w:type="paragraph" w:styleId="41">
    <w:name w:val="Quote"/>
    <w:basedOn w:val="1"/>
    <w:next w:val="1"/>
    <w:link w:val="42"/>
    <w:uiPriority w:val="29"/>
    <w:pPr>
      <w:spacing w:before="160"/>
      <w:ind w:left="720" w:right="720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2">
    <w:name w:val="引用 字符"/>
    <w:basedOn w:val="22"/>
    <w:link w:val="4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3">
    <w:name w:val="Intense Quote"/>
    <w:basedOn w:val="1"/>
    <w:next w:val="1"/>
    <w:link w:val="44"/>
    <w:uiPriority w:val="30"/>
    <w:pPr>
      <w:pBdr>
        <w:left w:val="single" w:color="4472C4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4472C4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44">
    <w:name w:val="明显引用 字符"/>
    <w:basedOn w:val="22"/>
    <w:link w:val="43"/>
    <w:uiPriority w:val="30"/>
    <w:rPr>
      <w:rFonts w:asciiTheme="majorHAnsi" w:hAnsiTheme="majorHAnsi" w:eastAsiaTheme="majorEastAsia" w:cstheme="majorBidi"/>
      <w:color w:val="4472C4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45">
    <w:name w:val="Subtle Emphasis"/>
    <w:basedOn w:val="22"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Intense Emphasis"/>
    <w:basedOn w:val="22"/>
    <w:uiPriority w:val="21"/>
    <w:rPr>
      <w:b/>
      <w:bCs/>
      <w:i/>
      <w:iCs/>
    </w:rPr>
  </w:style>
  <w:style w:type="character" w:customStyle="1" w:styleId="47">
    <w:name w:val="Subtle Reference"/>
    <w:basedOn w:val="22"/>
    <w:uiPriority w:val="31"/>
    <w:rPr>
      <w:smallCaps/>
      <w:color w:val="404040" w:themeColor="text1" w:themeTint="BF"/>
      <w:u w:val="single" w:color="7E7E7E" w:themeColor="text1" w:themeTint="8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">
    <w:name w:val="Intense Reference"/>
    <w:basedOn w:val="22"/>
    <w:uiPriority w:val="32"/>
    <w:rPr>
      <w:b/>
      <w:bCs/>
      <w:smallCaps/>
      <w:spacing w:val="5"/>
      <w:u w:val="single"/>
    </w:rPr>
  </w:style>
  <w:style w:type="character" w:customStyle="1" w:styleId="49">
    <w:name w:val="Book Title"/>
    <w:basedOn w:val="22"/>
    <w:uiPriority w:val="33"/>
    <w:rPr>
      <w:b/>
      <w:bCs/>
      <w:smallCaps/>
    </w:rPr>
  </w:style>
  <w:style w:type="paragraph" w:customStyle="1" w:styleId="50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1">
    <w:name w:val="正文（缩进） 字符"/>
    <w:basedOn w:val="22"/>
    <w:link w:val="13"/>
    <w:uiPriority w:val="0"/>
    <w:rPr>
      <w:rFonts w:ascii="Times New Roman" w:hAnsi="Times New Roman" w:eastAsia="仿宋_GB2312"/>
      <w:sz w:val="32"/>
      <w:szCs w:val="21"/>
    </w:rPr>
  </w:style>
  <w:style w:type="character" w:customStyle="1" w:styleId="52">
    <w:name w:val="页眉 字符"/>
    <w:basedOn w:val="22"/>
    <w:link w:val="16"/>
    <w:uiPriority w:val="99"/>
    <w:rPr>
      <w:sz w:val="18"/>
      <w:szCs w:val="18"/>
    </w:rPr>
  </w:style>
  <w:style w:type="character" w:customStyle="1" w:styleId="53">
    <w:name w:val="页脚 字符"/>
    <w:basedOn w:val="22"/>
    <w:link w:val="15"/>
    <w:uiPriority w:val="99"/>
    <w:rPr>
      <w:sz w:val="18"/>
      <w:szCs w:val="18"/>
    </w:rPr>
  </w:style>
  <w:style w:type="table" w:customStyle="1" w:styleId="54">
    <w:name w:val="Table Normal"/>
    <w:semiHidden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5">
    <w:name w:val="表格"/>
    <w:basedOn w:val="13"/>
    <w:link w:val="56"/>
    <w:qFormat/>
    <w:uiPriority w:val="0"/>
    <w:pPr>
      <w:spacing w:line="240" w:lineRule="auto"/>
      <w:ind w:firstLine="0" w:firstLineChars="0"/>
      <w:jc w:val="center"/>
    </w:pPr>
    <w:rPr>
      <w:sz w:val="28"/>
      <w:szCs w:val="28"/>
    </w:rPr>
  </w:style>
  <w:style w:type="character" w:customStyle="1" w:styleId="56">
    <w:name w:val="表格 字符"/>
    <w:basedOn w:val="51"/>
    <w:link w:val="55"/>
    <w:uiPriority w:val="0"/>
    <w:rPr>
      <w:rFonts w:ascii="Times New Roman" w:hAnsi="Times New Roman" w:eastAsia="仿宋_GB2312"/>
      <w:sz w:val="28"/>
      <w:szCs w:val="28"/>
    </w:rPr>
  </w:style>
  <w:style w:type="paragraph" w:customStyle="1" w:styleId="57">
    <w:name w:val="注释"/>
    <w:basedOn w:val="13"/>
    <w:link w:val="58"/>
    <w:qFormat/>
    <w:uiPriority w:val="0"/>
    <w:pPr>
      <w:ind w:left="480" w:hanging="480" w:hangingChars="200"/>
    </w:pPr>
    <w:rPr>
      <w:sz w:val="24"/>
      <w:szCs w:val="18"/>
    </w:rPr>
  </w:style>
  <w:style w:type="character" w:customStyle="1" w:styleId="58">
    <w:name w:val="注释 字符"/>
    <w:basedOn w:val="51"/>
    <w:link w:val="57"/>
    <w:uiPriority w:val="0"/>
    <w:rPr>
      <w:rFonts w:ascii="Times New Roman" w:hAnsi="Times New Roman" w:eastAsia="仿宋_GB2312"/>
      <w:sz w:val="24"/>
      <w:szCs w:val="18"/>
    </w:rPr>
  </w:style>
  <w:style w:type="paragraph" w:customStyle="1" w:styleId="59">
    <w:name w:val="落款学院"/>
    <w:basedOn w:val="1"/>
    <w:link w:val="60"/>
    <w:uiPriority w:val="0"/>
    <w:pPr>
      <w:spacing w:after="0" w:line="560" w:lineRule="exact"/>
      <w:ind w:right="840" w:rightChars="400"/>
      <w:jc w:val="right"/>
    </w:pPr>
    <w:rPr>
      <w:rFonts w:ascii="Times New Roman" w:hAnsi="Times New Roman" w:eastAsia="仿宋_GB2312" w:cs="Times New Roman"/>
      <w:color w:val="000000"/>
      <w:kern w:val="0"/>
      <w:sz w:val="32"/>
      <w:szCs w:val="32"/>
    </w:rPr>
  </w:style>
  <w:style w:type="character" w:customStyle="1" w:styleId="60">
    <w:name w:val="落款学院 字符"/>
    <w:basedOn w:val="22"/>
    <w:link w:val="59"/>
    <w:uiPriority w:val="0"/>
    <w:rPr>
      <w:rFonts w:ascii="Times New Roman" w:hAnsi="Times New Roman" w:eastAsia="仿宋_GB2312" w:cs="Times New Roman"/>
      <w:color w:val="000000"/>
      <w:kern w:val="0"/>
      <w:sz w:val="32"/>
      <w:szCs w:val="32"/>
    </w:rPr>
  </w:style>
  <w:style w:type="paragraph" w:customStyle="1" w:styleId="61">
    <w:name w:val="落款日期"/>
    <w:basedOn w:val="1"/>
    <w:link w:val="62"/>
    <w:uiPriority w:val="0"/>
    <w:pPr>
      <w:spacing w:after="0" w:line="560" w:lineRule="exact"/>
      <w:ind w:right="1260" w:rightChars="600"/>
      <w:jc w:val="right"/>
    </w:pPr>
    <w:rPr>
      <w:rFonts w:ascii="Times New Roman" w:hAnsi="Times New Roman" w:eastAsia="仿宋_GB2312" w:cs="Times New Roman"/>
      <w:color w:val="000000"/>
      <w:kern w:val="0"/>
      <w:sz w:val="32"/>
      <w:szCs w:val="32"/>
    </w:rPr>
  </w:style>
  <w:style w:type="character" w:customStyle="1" w:styleId="62">
    <w:name w:val="落款日期 字符"/>
    <w:basedOn w:val="22"/>
    <w:link w:val="61"/>
    <w:uiPriority w:val="0"/>
    <w:rPr>
      <w:rFonts w:ascii="Times New Roman" w:hAnsi="Times New Roman" w:eastAsia="仿宋_GB2312" w:cs="Times New Roman"/>
      <w:color w:val="000000"/>
      <w:kern w:val="0"/>
      <w:sz w:val="32"/>
      <w:szCs w:val="32"/>
    </w:rPr>
  </w:style>
  <w:style w:type="character" w:customStyle="1" w:styleId="63">
    <w:name w:val="图片 字符"/>
    <w:basedOn w:val="51"/>
    <w:link w:val="12"/>
    <w:uiPriority w:val="0"/>
    <w:rPr>
      <w:rFonts w:ascii="Times New Roman" w:hAnsi="Times New Roman" w:eastAsia="仿宋_GB2312"/>
      <w:sz w:val="28"/>
      <w:szCs w:val="21"/>
    </w:rPr>
  </w:style>
  <w:style w:type="paragraph" w:customStyle="1" w:styleId="64">
    <w:name w:val="ds-markdown-paragraph"/>
    <w:basedOn w:val="1"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65">
    <w:name w:val="批注文字 字符"/>
    <w:basedOn w:val="22"/>
    <w:link w:val="14"/>
    <w:semiHidden/>
    <w:uiPriority w:val="99"/>
  </w:style>
  <w:style w:type="character" w:customStyle="1" w:styleId="66">
    <w:name w:val="批注主题 字符"/>
    <w:basedOn w:val="65"/>
    <w:link w:val="19"/>
    <w:semiHidden/>
    <w:uiPriority w:val="99"/>
    <w:rPr>
      <w:b/>
      <w:bCs/>
    </w:rPr>
  </w:style>
  <w:style w:type="character" w:customStyle="1" w:styleId="67">
    <w:name w:val="Unresolved Mention"/>
    <w:basedOn w:val="2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33258;&#23450;&#20041;%20Office%20&#27169;&#26495;\&#20844;&#25991;1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041FA-2BA1-4109-9C6E-39894A7CEF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公文1.dotx</Template>
  <Pages>7</Pages>
  <Words>2637</Words>
  <Characters>3053</Characters>
  <Lines>23</Lines>
  <Paragraphs>6</Paragraphs>
  <TotalTime>113</TotalTime>
  <ScaleCrop>false</ScaleCrop>
  <LinksUpToDate>false</LinksUpToDate>
  <CharactersWithSpaces>3070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2026-05-20T00:11:00Z</dcterms:created>
  <dc:creator>盛韶华</dc:creator>
  <cp:lastModifiedBy>音无商</cp:lastModifiedBy>
  <dcterms:modified xsi:type="dcterms:W3CDTF">2026-05-20T02:27:01Z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eyJoZGlkIjoiOWRmYWU4OGJmYTM5ODU5YzI5NTdiNjE4ZjcxOTMwMmYiLCJ1c2VySWQiOiIxNzQzODEwOCJ9</vt:lpwstr>
  </property>
  <property fmtid="{D5CDD505-2E9C-101B-9397-08002B2CF9AE}" pid="3" name="KSOProductBuildVer">
    <vt:lpwstr>2052-12.1.0.25225</vt:lpwstr>
  </property>
  <property fmtid="{D5CDD505-2E9C-101B-9397-08002B2CF9AE}" pid="4" name="ICV">
    <vt:lpwstr>49312605595144328330BDE8F7BEA818_13</vt:lpwstr>
  </property>
</Properties>
</file>