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E9182A">
      <w:pPr>
        <w:jc w:val="both"/>
        <w:rPr>
          <w:rFonts w:hint="default" w:ascii="CESI黑体-GB2312" w:hAnsi="CESI黑体-GB2312" w:eastAsia="CESI黑体-GB2312" w:cs="CESI黑体-GB2312"/>
          <w:sz w:val="32"/>
          <w:szCs w:val="32"/>
          <w:lang w:val="en-US" w:eastAsia="zh-CN"/>
        </w:rPr>
      </w:pPr>
      <w:r>
        <w:rPr>
          <w:rFonts w:hint="eastAsia" w:ascii="CESI黑体-GB2312" w:hAnsi="CESI黑体-GB2312" w:eastAsia="CESI黑体-GB2312" w:cs="CESI黑体-GB2312"/>
          <w:sz w:val="32"/>
          <w:szCs w:val="32"/>
          <w:lang w:val="en-US" w:eastAsia="zh-CN"/>
        </w:rPr>
        <w:t>附件1</w:t>
      </w:r>
    </w:p>
    <w:p w14:paraId="7018ED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2026年度安阳市社科宣讲参考目录</w:t>
      </w:r>
    </w:p>
    <w:tbl>
      <w:tblPr>
        <w:tblStyle w:val="4"/>
        <w:tblW w:w="851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4"/>
        <w:gridCol w:w="5955"/>
        <w:gridCol w:w="988"/>
      </w:tblGrid>
      <w:tr w14:paraId="4FF4BC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74" w:type="dxa"/>
            <w:noWrap w:val="0"/>
            <w:vAlign w:val="center"/>
          </w:tcPr>
          <w:p w14:paraId="7A2CD1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类别</w:t>
            </w:r>
          </w:p>
        </w:tc>
        <w:tc>
          <w:tcPr>
            <w:tcW w:w="5955" w:type="dxa"/>
            <w:noWrap w:val="0"/>
            <w:vAlign w:val="center"/>
          </w:tcPr>
          <w:p w14:paraId="4D545F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宣讲题目</w:t>
            </w:r>
          </w:p>
        </w:tc>
        <w:tc>
          <w:tcPr>
            <w:tcW w:w="988" w:type="dxa"/>
            <w:noWrap w:val="0"/>
            <w:vAlign w:val="center"/>
          </w:tcPr>
          <w:p w14:paraId="7CBE95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备注</w:t>
            </w:r>
          </w:p>
        </w:tc>
      </w:tr>
      <w:tr w14:paraId="6DDA3E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74" w:type="dxa"/>
            <w:vMerge w:val="restart"/>
            <w:noWrap w:val="0"/>
            <w:vAlign w:val="center"/>
          </w:tcPr>
          <w:p w14:paraId="62A150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  <w:t>党的创新理论</w:t>
            </w:r>
          </w:p>
        </w:tc>
        <w:tc>
          <w:tcPr>
            <w:tcW w:w="5955" w:type="dxa"/>
            <w:noWrap w:val="0"/>
            <w:vAlign w:val="center"/>
          </w:tcPr>
          <w:p w14:paraId="70D85A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both"/>
              <w:textAlignment w:val="auto"/>
              <w:rPr>
                <w:rFonts w:hint="default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  <w:t>1.《习近平强军思想》</w:t>
            </w:r>
          </w:p>
        </w:tc>
        <w:tc>
          <w:tcPr>
            <w:tcW w:w="988" w:type="dxa"/>
            <w:noWrap w:val="0"/>
            <w:vAlign w:val="center"/>
          </w:tcPr>
          <w:p w14:paraId="7E9F77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E34F3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74" w:type="dxa"/>
            <w:vMerge w:val="continue"/>
            <w:noWrap w:val="0"/>
            <w:vAlign w:val="center"/>
          </w:tcPr>
          <w:p w14:paraId="6694E0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955" w:type="dxa"/>
            <w:noWrap w:val="0"/>
            <w:vAlign w:val="center"/>
          </w:tcPr>
          <w:p w14:paraId="54BC4A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both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  <w:t>2.《习近平经济思想》</w:t>
            </w:r>
          </w:p>
        </w:tc>
        <w:tc>
          <w:tcPr>
            <w:tcW w:w="988" w:type="dxa"/>
            <w:noWrap w:val="0"/>
            <w:vAlign w:val="center"/>
          </w:tcPr>
          <w:p w14:paraId="1EC21A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0708D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74" w:type="dxa"/>
            <w:vMerge w:val="continue"/>
            <w:noWrap w:val="0"/>
            <w:vAlign w:val="center"/>
          </w:tcPr>
          <w:p w14:paraId="50946A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955" w:type="dxa"/>
            <w:noWrap w:val="0"/>
            <w:vAlign w:val="center"/>
          </w:tcPr>
          <w:p w14:paraId="68EF2E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both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  <w:t>3.《习近平法治思想》</w:t>
            </w:r>
          </w:p>
        </w:tc>
        <w:tc>
          <w:tcPr>
            <w:tcW w:w="988" w:type="dxa"/>
            <w:noWrap w:val="0"/>
            <w:vAlign w:val="center"/>
          </w:tcPr>
          <w:p w14:paraId="02702F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C4E01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74" w:type="dxa"/>
            <w:vMerge w:val="continue"/>
            <w:noWrap w:val="0"/>
            <w:vAlign w:val="center"/>
          </w:tcPr>
          <w:p w14:paraId="184ED2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955" w:type="dxa"/>
            <w:noWrap w:val="0"/>
            <w:vAlign w:val="center"/>
          </w:tcPr>
          <w:p w14:paraId="405D3B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both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  <w:t>4.《习近平文化思想》</w:t>
            </w:r>
          </w:p>
        </w:tc>
        <w:tc>
          <w:tcPr>
            <w:tcW w:w="988" w:type="dxa"/>
            <w:noWrap w:val="0"/>
            <w:vAlign w:val="center"/>
          </w:tcPr>
          <w:p w14:paraId="7CC768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6823C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74" w:type="dxa"/>
            <w:vMerge w:val="continue"/>
            <w:noWrap w:val="0"/>
            <w:vAlign w:val="center"/>
          </w:tcPr>
          <w:p w14:paraId="39A582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955" w:type="dxa"/>
            <w:noWrap w:val="0"/>
            <w:vAlign w:val="center"/>
          </w:tcPr>
          <w:p w14:paraId="3CECFC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both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  <w:t>5.《习近平生态文明思想》</w:t>
            </w:r>
          </w:p>
        </w:tc>
        <w:tc>
          <w:tcPr>
            <w:tcW w:w="988" w:type="dxa"/>
            <w:noWrap w:val="0"/>
            <w:vAlign w:val="center"/>
          </w:tcPr>
          <w:p w14:paraId="5F6353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A6ABB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74" w:type="dxa"/>
            <w:vMerge w:val="continue"/>
            <w:noWrap w:val="0"/>
            <w:vAlign w:val="center"/>
          </w:tcPr>
          <w:p w14:paraId="081E8E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955" w:type="dxa"/>
            <w:noWrap w:val="0"/>
            <w:vAlign w:val="center"/>
          </w:tcPr>
          <w:p w14:paraId="664ECB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both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  <w:t>6.《习近平外交思想》</w:t>
            </w:r>
          </w:p>
        </w:tc>
        <w:tc>
          <w:tcPr>
            <w:tcW w:w="988" w:type="dxa"/>
            <w:noWrap w:val="0"/>
            <w:vAlign w:val="center"/>
          </w:tcPr>
          <w:p w14:paraId="667D0C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E52E0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74" w:type="dxa"/>
            <w:vMerge w:val="continue"/>
            <w:noWrap w:val="0"/>
            <w:vAlign w:val="center"/>
          </w:tcPr>
          <w:p w14:paraId="43ABAA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955" w:type="dxa"/>
            <w:noWrap w:val="0"/>
            <w:vAlign w:val="center"/>
          </w:tcPr>
          <w:p w14:paraId="604390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both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  <w:t>7.《习近平党建思想》</w:t>
            </w:r>
          </w:p>
        </w:tc>
        <w:tc>
          <w:tcPr>
            <w:tcW w:w="988" w:type="dxa"/>
            <w:noWrap w:val="0"/>
            <w:vAlign w:val="center"/>
          </w:tcPr>
          <w:p w14:paraId="09E5E9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B2759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  <w:jc w:val="center"/>
        </w:trPr>
        <w:tc>
          <w:tcPr>
            <w:tcW w:w="1574" w:type="dxa"/>
            <w:vMerge w:val="continue"/>
            <w:noWrap w:val="0"/>
            <w:vAlign w:val="center"/>
          </w:tcPr>
          <w:p w14:paraId="5EB61C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955" w:type="dxa"/>
            <w:noWrap w:val="0"/>
            <w:vAlign w:val="center"/>
          </w:tcPr>
          <w:p w14:paraId="758834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both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  <w:t>8.《习近平总书记关于全面深化改革的一系列新思想、新观点、新论断》</w:t>
            </w:r>
          </w:p>
        </w:tc>
        <w:tc>
          <w:tcPr>
            <w:tcW w:w="988" w:type="dxa"/>
            <w:noWrap w:val="0"/>
            <w:vAlign w:val="center"/>
          </w:tcPr>
          <w:p w14:paraId="7C659E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0F787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74" w:type="dxa"/>
            <w:vMerge w:val="continue"/>
            <w:noWrap w:val="0"/>
            <w:vAlign w:val="center"/>
          </w:tcPr>
          <w:p w14:paraId="7D827D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955" w:type="dxa"/>
            <w:noWrap w:val="0"/>
            <w:vAlign w:val="center"/>
          </w:tcPr>
          <w:p w14:paraId="1AE938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both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  <w:t>9.《习近平总书记关于社会主义政治建设论述》</w:t>
            </w:r>
          </w:p>
        </w:tc>
        <w:tc>
          <w:tcPr>
            <w:tcW w:w="988" w:type="dxa"/>
            <w:noWrap w:val="0"/>
            <w:vAlign w:val="center"/>
          </w:tcPr>
          <w:p w14:paraId="027A5B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C9066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  <w:jc w:val="center"/>
        </w:trPr>
        <w:tc>
          <w:tcPr>
            <w:tcW w:w="1574" w:type="dxa"/>
            <w:vMerge w:val="continue"/>
            <w:noWrap w:val="0"/>
            <w:vAlign w:val="center"/>
          </w:tcPr>
          <w:p w14:paraId="432764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955" w:type="dxa"/>
            <w:noWrap w:val="0"/>
            <w:vAlign w:val="center"/>
          </w:tcPr>
          <w:p w14:paraId="05ED6F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both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  <w:t>10.《习近平总书记关于树立和践行正确政绩观的重要论述》</w:t>
            </w:r>
          </w:p>
        </w:tc>
        <w:tc>
          <w:tcPr>
            <w:tcW w:w="988" w:type="dxa"/>
            <w:noWrap w:val="0"/>
            <w:vAlign w:val="center"/>
          </w:tcPr>
          <w:p w14:paraId="4CD6AC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6DF992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74" w:type="dxa"/>
            <w:vMerge w:val="continue"/>
            <w:noWrap w:val="0"/>
            <w:vAlign w:val="center"/>
          </w:tcPr>
          <w:p w14:paraId="3A63A8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955" w:type="dxa"/>
            <w:noWrap w:val="0"/>
            <w:vAlign w:val="center"/>
          </w:tcPr>
          <w:p w14:paraId="019883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both"/>
              <w:textAlignment w:val="auto"/>
              <w:rPr>
                <w:rFonts w:hint="default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  <w:t>11.《知史爱党  知史爱国》</w:t>
            </w:r>
          </w:p>
        </w:tc>
        <w:tc>
          <w:tcPr>
            <w:tcW w:w="988" w:type="dxa"/>
            <w:noWrap w:val="0"/>
            <w:vAlign w:val="center"/>
          </w:tcPr>
          <w:p w14:paraId="4F70A4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4CEBD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  <w:jc w:val="center"/>
        </w:trPr>
        <w:tc>
          <w:tcPr>
            <w:tcW w:w="1574" w:type="dxa"/>
            <w:vMerge w:val="restart"/>
            <w:noWrap w:val="0"/>
            <w:vAlign w:val="center"/>
          </w:tcPr>
          <w:p w14:paraId="5545CF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  <w:t>地方特色文化</w:t>
            </w:r>
          </w:p>
        </w:tc>
        <w:tc>
          <w:tcPr>
            <w:tcW w:w="5955" w:type="dxa"/>
            <w:noWrap w:val="0"/>
            <w:vAlign w:val="center"/>
          </w:tcPr>
          <w:p w14:paraId="261CB2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both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  <w:t>12.《近年来殷墟及周边地区商代遗址考古新发现》</w:t>
            </w:r>
          </w:p>
        </w:tc>
        <w:tc>
          <w:tcPr>
            <w:tcW w:w="988" w:type="dxa"/>
            <w:noWrap w:val="0"/>
            <w:vAlign w:val="center"/>
          </w:tcPr>
          <w:p w14:paraId="7F7E26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1858B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74" w:type="dxa"/>
            <w:vMerge w:val="continue"/>
            <w:noWrap w:val="0"/>
            <w:vAlign w:val="center"/>
          </w:tcPr>
          <w:p w14:paraId="32E855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955" w:type="dxa"/>
            <w:noWrap w:val="0"/>
            <w:vAlign w:val="center"/>
          </w:tcPr>
          <w:p w14:paraId="38C028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both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  <w:t>13.《甲骨文里的衣食住行》</w:t>
            </w:r>
          </w:p>
        </w:tc>
        <w:tc>
          <w:tcPr>
            <w:tcW w:w="988" w:type="dxa"/>
            <w:noWrap w:val="0"/>
            <w:vAlign w:val="center"/>
          </w:tcPr>
          <w:p w14:paraId="09D70B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BDE62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  <w:jc w:val="center"/>
        </w:trPr>
        <w:tc>
          <w:tcPr>
            <w:tcW w:w="1574" w:type="dxa"/>
            <w:vMerge w:val="restart"/>
            <w:noWrap w:val="0"/>
            <w:vAlign w:val="center"/>
          </w:tcPr>
          <w:p w14:paraId="0E59ED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  <w:t>地方特色文化</w:t>
            </w:r>
          </w:p>
        </w:tc>
        <w:tc>
          <w:tcPr>
            <w:tcW w:w="5955" w:type="dxa"/>
            <w:noWrap w:val="0"/>
            <w:vAlign w:val="center"/>
          </w:tcPr>
          <w:p w14:paraId="48AD8C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both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  <w:t>14.《打破“曹操”〈三国演义〉的刻板印象》</w:t>
            </w:r>
          </w:p>
        </w:tc>
        <w:tc>
          <w:tcPr>
            <w:tcW w:w="988" w:type="dxa"/>
            <w:noWrap w:val="0"/>
            <w:vAlign w:val="center"/>
          </w:tcPr>
          <w:p w14:paraId="7764E7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69D3D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  <w:jc w:val="center"/>
        </w:trPr>
        <w:tc>
          <w:tcPr>
            <w:tcW w:w="1574" w:type="dxa"/>
            <w:vMerge w:val="continue"/>
            <w:noWrap w:val="0"/>
            <w:vAlign w:val="center"/>
          </w:tcPr>
          <w:p w14:paraId="2AF33F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955" w:type="dxa"/>
            <w:noWrap w:val="0"/>
            <w:vAlign w:val="center"/>
          </w:tcPr>
          <w:p w14:paraId="785483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both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  <w:t>15.《学习谷文昌的精神品格》</w:t>
            </w:r>
          </w:p>
        </w:tc>
        <w:tc>
          <w:tcPr>
            <w:tcW w:w="988" w:type="dxa"/>
            <w:noWrap w:val="0"/>
            <w:vAlign w:val="center"/>
          </w:tcPr>
          <w:p w14:paraId="0B72D2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32C25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  <w:jc w:val="center"/>
        </w:trPr>
        <w:tc>
          <w:tcPr>
            <w:tcW w:w="1574" w:type="dxa"/>
            <w:vMerge w:val="continue"/>
            <w:noWrap w:val="0"/>
            <w:vAlign w:val="center"/>
          </w:tcPr>
          <w:p w14:paraId="6F8003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955" w:type="dxa"/>
            <w:noWrap w:val="0"/>
            <w:vAlign w:val="center"/>
          </w:tcPr>
          <w:p w14:paraId="56AEF7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both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  <w:t>16.《新时代继承发扬扁担精神》</w:t>
            </w:r>
          </w:p>
        </w:tc>
        <w:tc>
          <w:tcPr>
            <w:tcW w:w="988" w:type="dxa"/>
            <w:noWrap w:val="0"/>
            <w:vAlign w:val="center"/>
          </w:tcPr>
          <w:p w14:paraId="35A0DF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2C4D5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  <w:jc w:val="center"/>
        </w:trPr>
        <w:tc>
          <w:tcPr>
            <w:tcW w:w="1574" w:type="dxa"/>
            <w:vMerge w:val="continue"/>
            <w:noWrap w:val="0"/>
            <w:vAlign w:val="center"/>
          </w:tcPr>
          <w:p w14:paraId="605A2A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955" w:type="dxa"/>
            <w:noWrap w:val="0"/>
            <w:vAlign w:val="center"/>
          </w:tcPr>
          <w:p w14:paraId="499656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both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  <w:t>17.《学习岳飞精忠报国的精神品质》</w:t>
            </w:r>
          </w:p>
        </w:tc>
        <w:tc>
          <w:tcPr>
            <w:tcW w:w="988" w:type="dxa"/>
            <w:noWrap w:val="0"/>
            <w:vAlign w:val="center"/>
          </w:tcPr>
          <w:p w14:paraId="666A0B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CECC6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  <w:jc w:val="center"/>
        </w:trPr>
        <w:tc>
          <w:tcPr>
            <w:tcW w:w="1574" w:type="dxa"/>
            <w:vMerge w:val="continue"/>
            <w:noWrap w:val="0"/>
            <w:vAlign w:val="center"/>
          </w:tcPr>
          <w:p w14:paraId="089C13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955" w:type="dxa"/>
            <w:noWrap w:val="0"/>
            <w:vAlign w:val="center"/>
          </w:tcPr>
          <w:p w14:paraId="25A478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both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  <w:t>18.《〈易经〉中的哲学思想》》</w:t>
            </w:r>
          </w:p>
        </w:tc>
        <w:tc>
          <w:tcPr>
            <w:tcW w:w="988" w:type="dxa"/>
            <w:noWrap w:val="0"/>
            <w:vAlign w:val="center"/>
          </w:tcPr>
          <w:p w14:paraId="613D48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E40D0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  <w:jc w:val="center"/>
        </w:trPr>
        <w:tc>
          <w:tcPr>
            <w:tcW w:w="1574" w:type="dxa"/>
            <w:vMerge w:val="continue"/>
            <w:noWrap w:val="0"/>
            <w:vAlign w:val="center"/>
          </w:tcPr>
          <w:p w14:paraId="386F52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955" w:type="dxa"/>
            <w:noWrap w:val="0"/>
            <w:vAlign w:val="center"/>
          </w:tcPr>
          <w:p w14:paraId="407EC5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both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  <w:t>19.《红旗渠精神及其时代价值》</w:t>
            </w:r>
          </w:p>
        </w:tc>
        <w:tc>
          <w:tcPr>
            <w:tcW w:w="988" w:type="dxa"/>
            <w:noWrap w:val="0"/>
            <w:vAlign w:val="center"/>
          </w:tcPr>
          <w:p w14:paraId="6A60BB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F5BD5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  <w:jc w:val="center"/>
        </w:trPr>
        <w:tc>
          <w:tcPr>
            <w:tcW w:w="1574" w:type="dxa"/>
            <w:vMerge w:val="continue"/>
            <w:noWrap w:val="0"/>
            <w:vAlign w:val="center"/>
          </w:tcPr>
          <w:p w14:paraId="7D91C4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955" w:type="dxa"/>
            <w:noWrap w:val="0"/>
            <w:vAlign w:val="center"/>
          </w:tcPr>
          <w:p w14:paraId="39E987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both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  <w:t>20.《学习党的历史，传承红色基因》</w:t>
            </w:r>
          </w:p>
        </w:tc>
        <w:tc>
          <w:tcPr>
            <w:tcW w:w="988" w:type="dxa"/>
            <w:noWrap w:val="0"/>
            <w:vAlign w:val="center"/>
          </w:tcPr>
          <w:p w14:paraId="174924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8C9CB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  <w:jc w:val="center"/>
        </w:trPr>
        <w:tc>
          <w:tcPr>
            <w:tcW w:w="1574" w:type="dxa"/>
            <w:vMerge w:val="continue"/>
            <w:noWrap w:val="0"/>
            <w:vAlign w:val="center"/>
          </w:tcPr>
          <w:p w14:paraId="66E694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955" w:type="dxa"/>
            <w:noWrap w:val="0"/>
            <w:vAlign w:val="center"/>
          </w:tcPr>
          <w:p w14:paraId="207185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both"/>
              <w:textAlignment w:val="auto"/>
              <w:rPr>
                <w:rFonts w:hint="default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  <w:t>21.</w:t>
            </w:r>
            <w:r>
              <w:rPr>
                <w:rFonts w:hint="eastAsia" w:ascii="华文仿宋" w:hAnsi="华文仿宋" w:eastAsia="华文仿宋" w:cs="华文仿宋"/>
                <w:sz w:val="28"/>
                <w:szCs w:val="28"/>
                <w:highlight w:val="none"/>
                <w:vertAlign w:val="baseline"/>
                <w:lang w:val="en-US" w:eastAsia="zh-CN"/>
              </w:rPr>
              <w:t>《传承优良家风，做好社会表率》</w:t>
            </w:r>
          </w:p>
        </w:tc>
        <w:tc>
          <w:tcPr>
            <w:tcW w:w="988" w:type="dxa"/>
            <w:noWrap w:val="0"/>
            <w:vAlign w:val="center"/>
          </w:tcPr>
          <w:p w14:paraId="21EED0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803A1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  <w:jc w:val="center"/>
        </w:trPr>
        <w:tc>
          <w:tcPr>
            <w:tcW w:w="1574" w:type="dxa"/>
            <w:vMerge w:val="restart"/>
            <w:noWrap w:val="0"/>
            <w:vAlign w:val="center"/>
          </w:tcPr>
          <w:p w14:paraId="050706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  <w:t>高质量</w:t>
            </w:r>
          </w:p>
          <w:p w14:paraId="7FBEBD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  <w:t>发展</w:t>
            </w:r>
          </w:p>
        </w:tc>
        <w:tc>
          <w:tcPr>
            <w:tcW w:w="5955" w:type="dxa"/>
            <w:noWrap w:val="0"/>
            <w:vAlign w:val="center"/>
          </w:tcPr>
          <w:p w14:paraId="3DF8CC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both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  <w:t>22.《我国宏观经济形势分析》</w:t>
            </w:r>
          </w:p>
        </w:tc>
        <w:tc>
          <w:tcPr>
            <w:tcW w:w="988" w:type="dxa"/>
            <w:noWrap w:val="0"/>
            <w:vAlign w:val="center"/>
          </w:tcPr>
          <w:p w14:paraId="46782C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80BA3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  <w:jc w:val="center"/>
        </w:trPr>
        <w:tc>
          <w:tcPr>
            <w:tcW w:w="1574" w:type="dxa"/>
            <w:vMerge w:val="continue"/>
            <w:noWrap w:val="0"/>
            <w:vAlign w:val="center"/>
          </w:tcPr>
          <w:p w14:paraId="6A3F4E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955" w:type="dxa"/>
            <w:noWrap w:val="0"/>
            <w:vAlign w:val="center"/>
          </w:tcPr>
          <w:p w14:paraId="6AAA0A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both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  <w:t>23.《建设现代化产业体系，巩固壮大实体经济根基》</w:t>
            </w:r>
          </w:p>
        </w:tc>
        <w:tc>
          <w:tcPr>
            <w:tcW w:w="988" w:type="dxa"/>
            <w:noWrap w:val="0"/>
            <w:vAlign w:val="center"/>
          </w:tcPr>
          <w:p w14:paraId="468E13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BAAA7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  <w:jc w:val="center"/>
        </w:trPr>
        <w:tc>
          <w:tcPr>
            <w:tcW w:w="1574" w:type="dxa"/>
            <w:vMerge w:val="continue"/>
            <w:noWrap w:val="0"/>
            <w:vAlign w:val="center"/>
          </w:tcPr>
          <w:p w14:paraId="3DD34E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955" w:type="dxa"/>
            <w:noWrap w:val="0"/>
            <w:vAlign w:val="center"/>
          </w:tcPr>
          <w:p w14:paraId="12C8FE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both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  <w:t>24.《加快高水平科技自立自强，引领发展新质生产力》</w:t>
            </w:r>
          </w:p>
        </w:tc>
        <w:tc>
          <w:tcPr>
            <w:tcW w:w="988" w:type="dxa"/>
            <w:noWrap w:val="0"/>
            <w:vAlign w:val="center"/>
          </w:tcPr>
          <w:p w14:paraId="3DC091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9D9F8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74" w:type="dxa"/>
            <w:vMerge w:val="continue"/>
            <w:noWrap w:val="0"/>
            <w:vAlign w:val="center"/>
          </w:tcPr>
          <w:p w14:paraId="479695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955" w:type="dxa"/>
            <w:noWrap w:val="0"/>
            <w:vAlign w:val="center"/>
          </w:tcPr>
          <w:p w14:paraId="2302CD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both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  <w:t>25.《建设强大国内市场，加快构建新发展格局》</w:t>
            </w:r>
          </w:p>
        </w:tc>
        <w:tc>
          <w:tcPr>
            <w:tcW w:w="988" w:type="dxa"/>
            <w:noWrap w:val="0"/>
            <w:vAlign w:val="center"/>
          </w:tcPr>
          <w:p w14:paraId="38BED4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85AB9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  <w:jc w:val="center"/>
        </w:trPr>
        <w:tc>
          <w:tcPr>
            <w:tcW w:w="1574" w:type="dxa"/>
            <w:vMerge w:val="continue"/>
            <w:noWrap w:val="0"/>
            <w:vAlign w:val="center"/>
          </w:tcPr>
          <w:p w14:paraId="269761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955" w:type="dxa"/>
            <w:noWrap w:val="0"/>
            <w:vAlign w:val="center"/>
          </w:tcPr>
          <w:p w14:paraId="14C8D9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both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  <w:t>26.《扩大高水平对外开放，开创合作共赢新局面》</w:t>
            </w:r>
          </w:p>
        </w:tc>
        <w:tc>
          <w:tcPr>
            <w:tcW w:w="988" w:type="dxa"/>
            <w:noWrap w:val="0"/>
            <w:vAlign w:val="center"/>
          </w:tcPr>
          <w:p w14:paraId="6C6333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95F4B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  <w:jc w:val="center"/>
        </w:trPr>
        <w:tc>
          <w:tcPr>
            <w:tcW w:w="1574" w:type="dxa"/>
            <w:vMerge w:val="continue"/>
            <w:noWrap w:val="0"/>
            <w:vAlign w:val="center"/>
          </w:tcPr>
          <w:p w14:paraId="4FB460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955" w:type="dxa"/>
            <w:noWrap w:val="0"/>
            <w:vAlign w:val="center"/>
          </w:tcPr>
          <w:p w14:paraId="3C2B2D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both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  <w:t>27.《加快农业农村现代化，扎实推进乡村全面振兴》</w:t>
            </w:r>
          </w:p>
        </w:tc>
        <w:tc>
          <w:tcPr>
            <w:tcW w:w="988" w:type="dxa"/>
            <w:noWrap w:val="0"/>
            <w:vAlign w:val="center"/>
          </w:tcPr>
          <w:p w14:paraId="0BDAEF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B36A6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74" w:type="dxa"/>
            <w:vMerge w:val="continue"/>
            <w:noWrap w:val="0"/>
            <w:vAlign w:val="center"/>
          </w:tcPr>
          <w:p w14:paraId="627B27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955" w:type="dxa"/>
            <w:noWrap w:val="0"/>
            <w:vAlign w:val="center"/>
          </w:tcPr>
          <w:p w14:paraId="1BD2D9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both"/>
              <w:textAlignment w:val="auto"/>
              <w:rPr>
                <w:rFonts w:hint="default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  <w:t>28.《优化区域经济布局，促进区域协调发展》</w:t>
            </w:r>
          </w:p>
        </w:tc>
        <w:tc>
          <w:tcPr>
            <w:tcW w:w="988" w:type="dxa"/>
            <w:noWrap w:val="0"/>
            <w:vAlign w:val="center"/>
          </w:tcPr>
          <w:p w14:paraId="2B8F7B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CE997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  <w:jc w:val="center"/>
        </w:trPr>
        <w:tc>
          <w:tcPr>
            <w:tcW w:w="1574" w:type="dxa"/>
            <w:vMerge w:val="continue"/>
            <w:noWrap w:val="0"/>
            <w:vAlign w:val="center"/>
          </w:tcPr>
          <w:p w14:paraId="07EB86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955" w:type="dxa"/>
            <w:noWrap w:val="0"/>
            <w:vAlign w:val="center"/>
          </w:tcPr>
          <w:p w14:paraId="6EC4BC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both"/>
              <w:textAlignment w:val="auto"/>
              <w:rPr>
                <w:rFonts w:hint="default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  <w:t>29.《深化文旅文创融合，擦亮殷墟甲骨文知名文化地标》</w:t>
            </w:r>
          </w:p>
        </w:tc>
        <w:tc>
          <w:tcPr>
            <w:tcW w:w="988" w:type="dxa"/>
            <w:noWrap w:val="0"/>
            <w:vAlign w:val="center"/>
          </w:tcPr>
          <w:p w14:paraId="6984AE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87BCE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74" w:type="dxa"/>
            <w:vMerge w:val="restart"/>
            <w:noWrap w:val="0"/>
            <w:vAlign w:val="center"/>
          </w:tcPr>
          <w:p w14:paraId="204920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  <w:t>高效能</w:t>
            </w:r>
          </w:p>
          <w:p w14:paraId="690376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  <w:t>治理</w:t>
            </w:r>
          </w:p>
        </w:tc>
        <w:tc>
          <w:tcPr>
            <w:tcW w:w="5955" w:type="dxa"/>
            <w:noWrap w:val="0"/>
            <w:vAlign w:val="center"/>
          </w:tcPr>
          <w:p w14:paraId="2A28BF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both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  <w:t>30.《弘扬宪法精神，维护宪法权威》</w:t>
            </w:r>
          </w:p>
        </w:tc>
        <w:tc>
          <w:tcPr>
            <w:tcW w:w="988" w:type="dxa"/>
            <w:noWrap w:val="0"/>
            <w:vAlign w:val="center"/>
          </w:tcPr>
          <w:p w14:paraId="0CB5DF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6AA398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574" w:type="dxa"/>
            <w:vMerge w:val="continue"/>
            <w:noWrap w:val="0"/>
            <w:vAlign w:val="center"/>
          </w:tcPr>
          <w:p w14:paraId="618456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955" w:type="dxa"/>
            <w:noWrap w:val="0"/>
            <w:vAlign w:val="center"/>
          </w:tcPr>
          <w:p w14:paraId="0FC28E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both"/>
              <w:textAlignment w:val="auto"/>
              <w:rPr>
                <w:rFonts w:hint="default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  <w:t>31.《推进国家安全体系和能力现代化，建设更高水平平安中国》</w:t>
            </w:r>
          </w:p>
        </w:tc>
        <w:tc>
          <w:tcPr>
            <w:tcW w:w="988" w:type="dxa"/>
            <w:noWrap w:val="0"/>
            <w:vAlign w:val="center"/>
          </w:tcPr>
          <w:p w14:paraId="43481F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E7E30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74" w:type="dxa"/>
            <w:vMerge w:val="continue"/>
            <w:noWrap w:val="0"/>
            <w:vAlign w:val="center"/>
          </w:tcPr>
          <w:p w14:paraId="350CC6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955" w:type="dxa"/>
            <w:noWrap w:val="0"/>
            <w:vAlign w:val="center"/>
          </w:tcPr>
          <w:p w14:paraId="48A079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both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  <w:t>32.《党建引领基层高效能治理的安阳实践》</w:t>
            </w:r>
          </w:p>
        </w:tc>
        <w:tc>
          <w:tcPr>
            <w:tcW w:w="988" w:type="dxa"/>
            <w:noWrap w:val="0"/>
            <w:vAlign w:val="center"/>
          </w:tcPr>
          <w:p w14:paraId="0E0E62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612C3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74" w:type="dxa"/>
            <w:vMerge w:val="continue"/>
            <w:noWrap w:val="0"/>
            <w:vAlign w:val="center"/>
          </w:tcPr>
          <w:p w14:paraId="49F87D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955" w:type="dxa"/>
            <w:noWrap w:val="0"/>
            <w:vAlign w:val="center"/>
          </w:tcPr>
          <w:p w14:paraId="73CBBE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both"/>
              <w:textAlignment w:val="auto"/>
              <w:rPr>
                <w:rFonts w:hint="default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  <w:t>33.《“两山”理论在基层的生动实践》</w:t>
            </w:r>
          </w:p>
        </w:tc>
        <w:tc>
          <w:tcPr>
            <w:tcW w:w="988" w:type="dxa"/>
            <w:noWrap w:val="0"/>
            <w:vAlign w:val="center"/>
          </w:tcPr>
          <w:p w14:paraId="59A052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6DC73B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574" w:type="dxa"/>
            <w:vMerge w:val="continue"/>
            <w:noWrap w:val="0"/>
            <w:vAlign w:val="center"/>
          </w:tcPr>
          <w:p w14:paraId="69B0B2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955" w:type="dxa"/>
            <w:noWrap w:val="0"/>
            <w:vAlign w:val="center"/>
          </w:tcPr>
          <w:p w14:paraId="65D012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both"/>
              <w:textAlignment w:val="auto"/>
              <w:rPr>
                <w:rFonts w:hint="default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  <w:t>34.《加大保障和改善民生力度，扎实推进全体人民共同富裕》</w:t>
            </w:r>
          </w:p>
        </w:tc>
        <w:tc>
          <w:tcPr>
            <w:tcW w:w="988" w:type="dxa"/>
            <w:noWrap w:val="0"/>
            <w:vAlign w:val="center"/>
          </w:tcPr>
          <w:p w14:paraId="256ABA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E53BA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74" w:type="dxa"/>
            <w:vMerge w:val="continue"/>
            <w:noWrap w:val="0"/>
            <w:vAlign w:val="center"/>
          </w:tcPr>
          <w:p w14:paraId="1E164D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955" w:type="dxa"/>
            <w:noWrap w:val="0"/>
            <w:vAlign w:val="center"/>
          </w:tcPr>
          <w:p w14:paraId="597A4F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both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  <w:t>35.《提升化解风险能力和水平》</w:t>
            </w:r>
          </w:p>
        </w:tc>
        <w:tc>
          <w:tcPr>
            <w:tcW w:w="988" w:type="dxa"/>
            <w:noWrap w:val="0"/>
            <w:vAlign w:val="center"/>
          </w:tcPr>
          <w:p w14:paraId="07DC76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3E7B1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74" w:type="dxa"/>
            <w:vMerge w:val="continue"/>
            <w:noWrap w:val="0"/>
            <w:vAlign w:val="center"/>
          </w:tcPr>
          <w:p w14:paraId="49B815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955" w:type="dxa"/>
            <w:noWrap w:val="0"/>
            <w:vAlign w:val="center"/>
          </w:tcPr>
          <w:p w14:paraId="36C096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both"/>
              <w:textAlignment w:val="auto"/>
              <w:rPr>
                <w:rFonts w:hint="default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  <w:t>36.《牢牢掌握意识形态工作的领导权》</w:t>
            </w:r>
          </w:p>
        </w:tc>
        <w:tc>
          <w:tcPr>
            <w:tcW w:w="988" w:type="dxa"/>
            <w:noWrap w:val="0"/>
            <w:vAlign w:val="center"/>
          </w:tcPr>
          <w:p w14:paraId="00B2C0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5E57CE95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ESI黑体-GB2312">
    <w:altName w:val="黑体"/>
    <w:panose1 w:val="02000500000000000000"/>
    <w:charset w:val="86"/>
    <w:family w:val="auto"/>
    <w:pitch w:val="default"/>
    <w:sig w:usb0="00000000" w:usb1="00000000" w:usb2="00000012" w:usb3="00000000" w:csb0="0004000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9E63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2026-08-08T03:43:04Z</dcterms:created>
  <dc:creator>Administrator</dc:creator>
  <cp:lastModifiedBy>王永国</cp:lastModifiedBy>
  <dcterms:modified xsi:type="dcterms:W3CDTF">2026-08-08T03:43:18Z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eyJoZGlkIjoiZmEzMjU0YmE4M2Q0ZmExYmQ1YWU4M2UyOGFiNmZjNzEiLCJ1c2VySWQiOiI1MTY5ODczIn0=</vt:lpwstr>
  </property>
  <property fmtid="{D5CDD505-2E9C-101B-9397-08002B2CF9AE}" pid="4" name="ICV">
    <vt:lpwstr>EACA299A22234A9780F15E1144CBF137_12</vt:lpwstr>
  </property>
</Properties>
</file>