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520" w:lineRule="exact"/>
        <w:jc w:val="left"/>
        <w:rPr>
          <w:rFonts w:hint="default" w:ascii="黑体" w:hAnsi="黑体" w:eastAsia="黑体" w:cs="黑体"/>
          <w:snapToGrid w:val="0"/>
          <w:spacing w:val="2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20"/>
          <w:kern w:val="0"/>
          <w:sz w:val="32"/>
          <w:szCs w:val="32"/>
          <w:lang w:val="en-US" w:eastAsia="zh-CN"/>
        </w:rPr>
        <w:t>附件5</w:t>
      </w:r>
    </w:p>
    <w:p>
      <w:pPr>
        <w:spacing w:after="312" w:afterLines="100" w:line="52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napToGrid w:val="0"/>
          <w:spacing w:val="20"/>
          <w:kern w:val="0"/>
          <w:sz w:val="36"/>
          <w:szCs w:val="36"/>
        </w:rPr>
        <w:t>安阳学院</w:t>
      </w:r>
      <w:r>
        <w:rPr>
          <w:rFonts w:hint="eastAsia" w:ascii="黑体" w:hAnsi="黑体" w:eastAsia="黑体" w:cs="黑体"/>
          <w:sz w:val="36"/>
          <w:szCs w:val="36"/>
        </w:rPr>
        <w:t>听课记录表</w:t>
      </w:r>
    </w:p>
    <w:p>
      <w:pPr>
        <w:spacing w:after="312" w:afterLines="100" w:line="520" w:lineRule="exact"/>
        <w:jc w:val="left"/>
        <w:rPr>
          <w:rFonts w:ascii="宋体" w:hAnsi="宋体" w:eastAsia="宋体" w:cs="Times New Roman"/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 xml:space="preserve">授课教师所在单位： </w:t>
      </w:r>
      <w:r>
        <w:rPr>
          <w:rFonts w:hint="eastAsia" w:ascii="黑体" w:hAnsi="宋体" w:eastAsia="黑体" w:cs="Times New Roman"/>
          <w:sz w:val="24"/>
          <w:szCs w:val="24"/>
        </w:rPr>
        <w:t xml:space="preserve">         </w:t>
      </w:r>
      <w:r>
        <w:rPr>
          <w:rFonts w:hint="eastAsia" w:ascii="宋体" w:hAnsi="宋体" w:eastAsia="宋体" w:cs="Times New Roman"/>
          <w:sz w:val="24"/>
          <w:szCs w:val="24"/>
        </w:rPr>
        <w:sym w:font="Wingdings 2" w:char="00A3"/>
      </w:r>
      <w:r>
        <w:rPr>
          <w:rFonts w:hint="eastAsia" w:ascii="宋体" w:hAnsi="宋体" w:eastAsia="宋体" w:cs="Times New Roman"/>
          <w:sz w:val="24"/>
          <w:szCs w:val="24"/>
        </w:rPr>
        <w:t>理论讲授类□实验技能类</w:t>
      </w:r>
      <w:r>
        <w:rPr>
          <w:rFonts w:hint="eastAsia" w:ascii="黑体" w:hAnsi="宋体" w:eastAsia="黑体" w:cs="Times New Roman"/>
          <w:sz w:val="24"/>
          <w:szCs w:val="24"/>
        </w:rPr>
        <w:t xml:space="preserve">      </w:t>
      </w:r>
      <w:r>
        <w:rPr>
          <w:rFonts w:hint="eastAsia" w:ascii="宋体" w:hAnsi="宋体" w:eastAsia="宋体" w:cs="Times New Roman"/>
          <w:sz w:val="24"/>
          <w:szCs w:val="24"/>
        </w:rPr>
        <w:t>年   月   日</w:t>
      </w:r>
    </w:p>
    <w:tbl>
      <w:tblPr>
        <w:tblStyle w:val="2"/>
        <w:tblW w:w="940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8"/>
        <w:gridCol w:w="2013"/>
        <w:gridCol w:w="1248"/>
        <w:gridCol w:w="2013"/>
        <w:gridCol w:w="1248"/>
        <w:gridCol w:w="163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8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授课教师</w:t>
            </w:r>
          </w:p>
        </w:tc>
        <w:tc>
          <w:tcPr>
            <w:tcW w:w="201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课程名称</w:t>
            </w:r>
          </w:p>
        </w:tc>
        <w:tc>
          <w:tcPr>
            <w:tcW w:w="2013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授课班级</w:t>
            </w:r>
          </w:p>
        </w:tc>
        <w:tc>
          <w:tcPr>
            <w:tcW w:w="1634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w w:val="9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24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授课地点</w:t>
            </w:r>
          </w:p>
        </w:tc>
        <w:tc>
          <w:tcPr>
            <w:tcW w:w="2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授课时间</w:t>
            </w:r>
          </w:p>
        </w:tc>
        <w:tc>
          <w:tcPr>
            <w:tcW w:w="201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ind w:firstLine="360" w:firstLineChars="15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24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听课教师</w:t>
            </w:r>
          </w:p>
        </w:tc>
        <w:tc>
          <w:tcPr>
            <w:tcW w:w="1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24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教学准备</w:t>
            </w:r>
          </w:p>
        </w:tc>
        <w:tc>
          <w:tcPr>
            <w:tcW w:w="81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教案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课件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教材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教学进度表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点名册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  <w:jc w:val="center"/>
        </w:trPr>
        <w:tc>
          <w:tcPr>
            <w:tcW w:w="1248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授课题目</w:t>
            </w:r>
          </w:p>
        </w:tc>
        <w:tc>
          <w:tcPr>
            <w:tcW w:w="81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5" w:hRule="atLeast"/>
          <w:jc w:val="center"/>
        </w:trPr>
        <w:tc>
          <w:tcPr>
            <w:tcW w:w="1248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教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过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程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及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内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容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提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要</w:t>
            </w:r>
          </w:p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</w:p>
        </w:tc>
        <w:tc>
          <w:tcPr>
            <w:tcW w:w="8156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>
      <w:pPr>
        <w:spacing w:after="312" w:afterLines="100" w:line="520" w:lineRule="exact"/>
        <w:jc w:val="center"/>
        <w:rPr>
          <w:rFonts w:ascii="方正小标宋简体" w:hAnsi="书体坊郭沫若字体" w:eastAsia="方正小标宋简体" w:cs="书体坊郭沫若字体"/>
          <w:snapToGrid w:val="0"/>
          <w:spacing w:val="20"/>
          <w:kern w:val="0"/>
          <w:sz w:val="36"/>
          <w:szCs w:val="36"/>
        </w:rPr>
      </w:pPr>
      <w:r>
        <w:rPr>
          <w:rFonts w:hint="eastAsia" w:ascii="黑体" w:hAnsi="黑体" w:eastAsia="黑体" w:cs="黑体"/>
          <w:snapToGrid w:val="0"/>
          <w:spacing w:val="20"/>
          <w:kern w:val="0"/>
          <w:sz w:val="36"/>
          <w:szCs w:val="36"/>
        </w:rPr>
        <w:t>安阳学院课堂教学质量评价表</w:t>
      </w:r>
    </w:p>
    <w:tbl>
      <w:tblPr>
        <w:tblStyle w:val="2"/>
        <w:tblW w:w="97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3899"/>
        <w:gridCol w:w="2767"/>
        <w:gridCol w:w="15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5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课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堂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记</w:t>
            </w:r>
          </w:p>
          <w:p>
            <w:pPr>
              <w:spacing w:line="400" w:lineRule="exact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事</w:t>
            </w:r>
          </w:p>
        </w:tc>
        <w:tc>
          <w:tcPr>
            <w:tcW w:w="8254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both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重点描述学生听课状况、课堂纪律及精神面貌：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1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意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与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议</w:t>
            </w:r>
          </w:p>
        </w:tc>
        <w:tc>
          <w:tcPr>
            <w:tcW w:w="8254" w:type="dxa"/>
            <w:gridSpan w:val="3"/>
            <w:noWrap w:val="0"/>
            <w:vAlign w:val="top"/>
          </w:tcPr>
          <w:p>
            <w:pPr>
              <w:rPr>
                <w:rFonts w:ascii="Times New Roman" w:hAnsi="Times New Roman" w:eastAsia="宋体" w:cs="Times New Roman"/>
                <w:w w:val="9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教师授课、课堂教学效果、教学方法、教学管理等方面存在的问题及建议：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指标</w:t>
            </w:r>
          </w:p>
        </w:tc>
        <w:tc>
          <w:tcPr>
            <w:tcW w:w="6666" w:type="dxa"/>
            <w:gridSpan w:val="2"/>
            <w:noWrap w:val="0"/>
            <w:vAlign w:val="center"/>
          </w:tcPr>
          <w:p>
            <w:pPr>
              <w:spacing w:line="360" w:lineRule="exact"/>
              <w:ind w:right="400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内 涵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宋体" w:cs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</w:rPr>
              <w:t>满分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1.教学准备</w:t>
            </w:r>
          </w:p>
        </w:tc>
        <w:tc>
          <w:tcPr>
            <w:tcW w:w="6666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(1)仪器设备完好，教学用品准备充足；</w:t>
            </w:r>
          </w:p>
          <w:p>
            <w:pPr>
              <w:ind w:left="465" w:leftChars="50" w:hanging="360" w:hangingChars="150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(2)教材、进度表、教案、课件、点名册五大件携带齐全。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ind w:right="400" w:firstLine="240" w:firstLineChars="10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2.教学态度</w:t>
            </w:r>
          </w:p>
        </w:tc>
        <w:tc>
          <w:tcPr>
            <w:tcW w:w="6666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(1)衣着得体，仪表端庄，教态自然，落落大方；</w:t>
            </w:r>
          </w:p>
          <w:p>
            <w:pPr>
              <w:ind w:firstLine="120" w:firstLineChars="50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(2)尊重学生，治学严谨，讲课有热情，精神饱满。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ind w:right="400" w:firstLine="240" w:firstLineChars="10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3.教学过程</w:t>
            </w:r>
          </w:p>
        </w:tc>
        <w:tc>
          <w:tcPr>
            <w:tcW w:w="6666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(1)目标明确，有的放矢，逻辑性强；</w:t>
            </w:r>
          </w:p>
          <w:p>
            <w:pPr>
              <w:ind w:firstLine="120" w:firstLineChars="50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(2)语速恰当，不快不慢，言简意赅；</w:t>
            </w:r>
          </w:p>
          <w:p>
            <w:pPr>
              <w:ind w:firstLine="120" w:firstLineChars="50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(3)板书规范，布局合理，课件精当；</w:t>
            </w:r>
          </w:p>
          <w:p>
            <w:pPr>
              <w:ind w:left="465" w:leftChars="50" w:hanging="360" w:hangingChars="150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(4)观点正确，表述无误，内容充实，信息量大，层次分明，逻辑性强，突出重点，化解难点与时俱进；</w:t>
            </w:r>
          </w:p>
          <w:p>
            <w:pPr>
              <w:ind w:firstLine="120" w:firstLineChars="50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(5)讲解清晰，示范规范，巡查到位，指导及时。</w:t>
            </w:r>
            <w:r>
              <w:rPr>
                <w:rFonts w:ascii="黑体" w:hAnsi="黑体" w:eastAsia="黑体" w:cs="黑体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ind w:right="400" w:firstLine="240" w:firstLineChars="10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4.教学组织</w:t>
            </w:r>
          </w:p>
        </w:tc>
        <w:tc>
          <w:tcPr>
            <w:tcW w:w="6666" w:type="dxa"/>
            <w:gridSpan w:val="2"/>
            <w:noWrap w:val="0"/>
            <w:vAlign w:val="center"/>
          </w:tcPr>
          <w:p>
            <w:pPr>
              <w:ind w:left="465" w:leftChars="50" w:hanging="360" w:hangingChars="150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(1)教学环节设计合理，环环相扣，衔接紧凑；</w:t>
            </w:r>
          </w:p>
          <w:p>
            <w:pPr>
              <w:ind w:firstLine="120" w:firstLineChars="50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(2)关注学生上课情况，课堂组织严密，教学秩序良好。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ind w:right="400" w:firstLine="240" w:firstLineChars="10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5.教学方法</w:t>
            </w:r>
          </w:p>
        </w:tc>
        <w:tc>
          <w:tcPr>
            <w:tcW w:w="6666" w:type="dxa"/>
            <w:gridSpan w:val="2"/>
            <w:noWrap w:val="0"/>
            <w:vAlign w:val="center"/>
          </w:tcPr>
          <w:p>
            <w:pPr>
              <w:ind w:left="465" w:leftChars="50" w:hanging="360" w:hangingChars="150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(1)理论联系实际，善于启发思维，能够实现师生互动；</w:t>
            </w:r>
          </w:p>
          <w:p>
            <w:pPr>
              <w:ind w:firstLine="120" w:firstLineChars="50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(2)教学方法使用合宜，运用自如，高度吻合教学内容。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ind w:right="400" w:firstLine="240" w:firstLineChars="10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24"/>
              </w:rPr>
              <w:t>6.教学效果</w:t>
            </w:r>
          </w:p>
        </w:tc>
        <w:tc>
          <w:tcPr>
            <w:tcW w:w="6666" w:type="dxa"/>
            <w:gridSpan w:val="2"/>
            <w:noWrap w:val="0"/>
            <w:vAlign w:val="center"/>
          </w:tcPr>
          <w:p>
            <w:pPr>
              <w:ind w:firstLine="120" w:firstLineChars="50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(1)能使学生充分理解、掌握主要教学内容；</w:t>
            </w:r>
          </w:p>
          <w:p>
            <w:pPr>
              <w:ind w:firstLine="120" w:firstLineChars="50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(2)能使学生的相关能力得到培养和提高。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widowControl/>
              <w:ind w:right="400" w:firstLine="240" w:firstLineChars="100"/>
              <w:jc w:val="center"/>
              <w:rPr>
                <w:rFonts w:ascii="黑体" w:hAnsi="黑体" w:eastAsia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454" w:type="dxa"/>
            <w:noWrap w:val="0"/>
            <w:vAlign w:val="center"/>
          </w:tcPr>
          <w:p>
            <w:pPr>
              <w:widowControl/>
              <w:adjustRightInd w:val="0"/>
              <w:snapToGrid w:val="0"/>
              <w:ind w:right="403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等级</w:t>
            </w:r>
          </w:p>
        </w:tc>
        <w:tc>
          <w:tcPr>
            <w:tcW w:w="3899" w:type="dxa"/>
            <w:noWrap w:val="0"/>
            <w:vAlign w:val="center"/>
          </w:tcPr>
          <w:p>
            <w:pPr>
              <w:widowControl/>
              <w:ind w:right="400" w:firstLine="280" w:firstLineChars="10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</w:p>
        </w:tc>
        <w:tc>
          <w:tcPr>
            <w:tcW w:w="2767" w:type="dxa"/>
            <w:noWrap w:val="0"/>
            <w:vAlign w:val="center"/>
          </w:tcPr>
          <w:p>
            <w:pPr>
              <w:widowControl/>
              <w:ind w:right="400" w:firstLine="280" w:firstLineChars="100"/>
              <w:jc w:val="center"/>
              <w:rPr>
                <w:rFonts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得分</w:t>
            </w:r>
          </w:p>
        </w:tc>
        <w:tc>
          <w:tcPr>
            <w:tcW w:w="1588" w:type="dxa"/>
            <w:noWrap w:val="0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spacing w:line="400" w:lineRule="exact"/>
        <w:ind w:right="275" w:rightChars="131"/>
      </w:pPr>
      <w:r>
        <w:rPr>
          <w:rFonts w:hint="eastAsia" w:ascii="Times New Roman" w:hAnsi="Times New Roman" w:eastAsia="宋体" w:cs="Times New Roman"/>
          <w:sz w:val="24"/>
          <w:szCs w:val="24"/>
        </w:rPr>
        <w:t>评价等级分为：</w:t>
      </w:r>
      <w:r>
        <w:rPr>
          <w:rFonts w:hint="eastAsia" w:ascii="宋体" w:hAnsi="宋体" w:eastAsia="宋体" w:cs="宋体"/>
          <w:kern w:val="0"/>
          <w:sz w:val="24"/>
          <w:szCs w:val="24"/>
        </w:rPr>
        <w:t>优秀（</w:t>
      </w:r>
      <w:r>
        <w:rPr>
          <w:rFonts w:hint="eastAsia" w:ascii="宋体" w:hAnsi="宋体" w:eastAsia="宋体" w:cs="Times New Roman"/>
          <w:sz w:val="24"/>
          <w:szCs w:val="24"/>
        </w:rPr>
        <w:t>95-90</w:t>
      </w:r>
      <w:r>
        <w:rPr>
          <w:rFonts w:hint="eastAsia" w:ascii="宋体" w:hAnsi="宋体" w:eastAsia="宋体" w:cs="宋体"/>
          <w:kern w:val="0"/>
          <w:sz w:val="24"/>
          <w:szCs w:val="24"/>
        </w:rPr>
        <w:t>）、良好</w:t>
      </w:r>
      <w:r>
        <w:rPr>
          <w:rFonts w:hint="eastAsia" w:ascii="宋体" w:hAnsi="宋体" w:eastAsia="宋体" w:cs="Times New Roman"/>
          <w:sz w:val="24"/>
          <w:szCs w:val="24"/>
        </w:rPr>
        <w:t>（89-80）、</w:t>
      </w:r>
      <w:r>
        <w:rPr>
          <w:rFonts w:hint="eastAsia" w:ascii="宋体" w:hAnsi="宋体" w:eastAsia="宋体" w:cs="宋体"/>
          <w:kern w:val="0"/>
          <w:sz w:val="24"/>
          <w:szCs w:val="24"/>
        </w:rPr>
        <w:t>中等（79-70）、一般（69-60）、较差（60分以下）五个等级</w:t>
      </w:r>
      <w:r>
        <w:rPr>
          <w:rFonts w:hint="eastAsia" w:ascii="宋体" w:hAnsi="宋体" w:eastAsia="宋体" w:cs="Times New Roman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书体坊郭沫若字体">
    <w:altName w:val="宋体"/>
    <w:panose1 w:val="03000509000000000000"/>
    <w:charset w:val="86"/>
    <w:family w:val="script"/>
    <w:pitch w:val="default"/>
    <w:sig w:usb0="00000000" w:usb1="00000000" w:usb2="00000000" w:usb3="00000000" w:csb0="003C0041" w:csb1="A00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jZjY2U5N2FhOTE4OGM1YmUwZWJiMWM3NjUyNDgifQ=="/>
  </w:docVars>
  <w:rsids>
    <w:rsidRoot w:val="053E1FC3"/>
    <w:rsid w:val="053E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977</Words>
  <Characters>1044</Characters>
  <Lines>0</Lines>
  <Paragraphs>0</Paragraphs>
  <TotalTime>0</TotalTime>
  <ScaleCrop>false</ScaleCrop>
  <LinksUpToDate>false</LinksUpToDate>
  <CharactersWithSpaces>1265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2024-04-02T07:15:00Z</dcterms:created>
  <dc:creator>看山堂</dc:creator>
  <cp:lastModifiedBy>看山堂</cp:lastModifiedBy>
  <dcterms:modified xsi:type="dcterms:W3CDTF">2024-04-02T07:29:48Z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CBA3D5EB259D449E95B8380C9F424E93_11</vt:lpwstr>
  </property>
</Properties>
</file>